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9" w:rsidRPr="00BC1843" w:rsidRDefault="00351469" w:rsidP="00351469">
      <w:pPr>
        <w:pStyle w:val="1"/>
        <w:spacing w:before="0"/>
        <w:jc w:val="center"/>
        <w:rPr>
          <w:rFonts w:eastAsia="Times New Roman"/>
          <w:color w:val="auto"/>
          <w:lang w:eastAsia="ru-RU"/>
        </w:rPr>
      </w:pPr>
      <w:r w:rsidRPr="00BC1843">
        <w:rPr>
          <w:rFonts w:eastAsia="Times New Roman"/>
          <w:color w:val="auto"/>
          <w:lang w:eastAsia="ru-RU"/>
        </w:rPr>
        <w:t>Итоговый отчет</w:t>
      </w:r>
    </w:p>
    <w:p w:rsidR="00351469" w:rsidRPr="00BC1843" w:rsidRDefault="00351469" w:rsidP="0035146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C1843">
        <w:rPr>
          <w:rFonts w:eastAsia="Times New Roman"/>
          <w:color w:val="auto"/>
          <w:lang w:eastAsia="ru-RU"/>
        </w:rPr>
        <w:t xml:space="preserve">управления </w:t>
      </w:r>
      <w:r w:rsidRPr="00BC1843">
        <w:rPr>
          <w:rFonts w:ascii="Times New Roman" w:eastAsia="Times New Roman" w:hAnsi="Times New Roman" w:cs="Times New Roman"/>
          <w:color w:val="auto"/>
          <w:lang w:eastAsia="ru-RU"/>
        </w:rPr>
        <w:t xml:space="preserve">образования Администрации Иланского района </w:t>
      </w:r>
    </w:p>
    <w:p w:rsidR="00361C70" w:rsidRDefault="00351469" w:rsidP="00351469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84DBF">
        <w:rPr>
          <w:rFonts w:ascii="Times New Roman" w:hAnsi="Times New Roman" w:cs="Times New Roman"/>
        </w:rPr>
        <w:t xml:space="preserve"> за 2018год</w:t>
      </w:r>
    </w:p>
    <w:p w:rsidR="00466AC8" w:rsidRPr="00466AC8" w:rsidRDefault="00466AC8" w:rsidP="00466AC8">
      <w:pPr>
        <w:pStyle w:val="a3"/>
        <w:jc w:val="center"/>
        <w:rPr>
          <w:b/>
        </w:rPr>
      </w:pPr>
    </w:p>
    <w:p w:rsidR="007555A8" w:rsidRDefault="007555A8" w:rsidP="003F7494">
      <w:pPr>
        <w:ind w:right="-2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Иланская система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2018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представлена</w:t>
      </w:r>
      <w:r w:rsidR="00B0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29</w:t>
      </w:r>
      <w:r w:rsidR="003F74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образовательными организациями, подведомственными управлению образования. </w:t>
      </w:r>
    </w:p>
    <w:p w:rsidR="00A15F17" w:rsidRPr="003B693E" w:rsidRDefault="00A15F17" w:rsidP="003B693E">
      <w:pPr>
        <w:pStyle w:val="a7"/>
        <w:numPr>
          <w:ilvl w:val="0"/>
          <w:numId w:val="4"/>
        </w:numPr>
        <w:tabs>
          <w:tab w:val="left" w:pos="1416"/>
        </w:tabs>
        <w:spacing w:line="237" w:lineRule="auto"/>
        <w:ind w:right="-1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93E">
        <w:rPr>
          <w:rFonts w:ascii="Symbol" w:eastAsia="Symbol" w:hAnsi="Symbol" w:cs="Symbol"/>
          <w:color w:val="000000"/>
          <w:sz w:val="28"/>
          <w:szCs w:val="28"/>
        </w:rPr>
        <w:t></w:t>
      </w:r>
      <w:r w:rsidRPr="003B693E">
        <w:rPr>
          <w:rFonts w:ascii="Symbol" w:eastAsia="Symbol" w:hAnsi="Symbol" w:cs="Symbol"/>
          <w:color w:val="000000"/>
          <w:sz w:val="28"/>
          <w:szCs w:val="28"/>
        </w:rPr>
        <w:t></w:t>
      </w:r>
      <w:r w:rsidR="00351469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351469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обще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оват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ль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ш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ол,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числе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13</w:t>
      </w:r>
      <w:r w:rsidR="0035146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сре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х,</w:t>
      </w:r>
      <w:r w:rsidRPr="003B693E">
        <w:rPr>
          <w:rFonts w:ascii="Times New Roman" w:eastAsia="Times New Roman" w:hAnsi="Times New Roman"/>
          <w:color w:val="000000"/>
          <w:spacing w:val="104"/>
          <w:sz w:val="28"/>
          <w:szCs w:val="28"/>
        </w:rPr>
        <w:t xml:space="preserve"> 1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осно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ная,</w:t>
      </w:r>
      <w:r w:rsidRPr="003B693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1 </w:t>
      </w:r>
      <w:proofErr w:type="gramStart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ча</w:t>
      </w:r>
      <w:r w:rsidRPr="003B693E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ная</w:t>
      </w:r>
      <w:proofErr w:type="gramEnd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87F42" w:rsidRPr="003B69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ес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ими лица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 яв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яются</w:t>
      </w:r>
      <w:r w:rsidRPr="003B693E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15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школ</w:t>
      </w:r>
      <w:proofErr w:type="gramStart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,в</w:t>
      </w:r>
      <w:proofErr w:type="gramEnd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соста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 xml:space="preserve"> ко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 xml:space="preserve">х входит приостановленная </w:t>
      </w:r>
      <w:proofErr w:type="spellStart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Росляковская</w:t>
      </w:r>
      <w:proofErr w:type="spellEnd"/>
      <w:r w:rsidRPr="003B693E">
        <w:rPr>
          <w:rFonts w:ascii="Times New Roman" w:eastAsia="Times New Roman" w:hAnsi="Times New Roman"/>
          <w:color w:val="000000"/>
          <w:sz w:val="28"/>
          <w:szCs w:val="28"/>
        </w:rPr>
        <w:t xml:space="preserve"> начальная школа;</w:t>
      </w:r>
    </w:p>
    <w:p w:rsidR="00A15F17" w:rsidRPr="003B693E" w:rsidRDefault="00A15F17" w:rsidP="003B693E">
      <w:pPr>
        <w:pStyle w:val="a7"/>
        <w:numPr>
          <w:ilvl w:val="0"/>
          <w:numId w:val="4"/>
        </w:numPr>
        <w:tabs>
          <w:tab w:val="left" w:pos="1416"/>
        </w:tabs>
        <w:spacing w:line="237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93E">
        <w:rPr>
          <w:rFonts w:ascii="Symbol" w:eastAsia="Symbol" w:hAnsi="Symbol" w:cs="Symbol"/>
          <w:color w:val="000000"/>
          <w:sz w:val="28"/>
          <w:szCs w:val="28"/>
        </w:rPr>
        <w:t></w:t>
      </w:r>
      <w:r w:rsidRPr="003B693E">
        <w:rPr>
          <w:rFonts w:ascii="Symbol" w:eastAsia="Symbol" w:hAnsi="Symbol" w:cs="Symbol"/>
          <w:color w:val="000000"/>
          <w:sz w:val="28"/>
          <w:szCs w:val="28"/>
        </w:rPr>
        <w:t></w:t>
      </w:r>
      <w:r w:rsidRPr="003B693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ш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3B693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3B693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ь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обр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азовател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ы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693E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чреж</w:t>
      </w:r>
      <w:r w:rsidRPr="003B69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й;</w:t>
      </w:r>
    </w:p>
    <w:p w:rsidR="00A15F17" w:rsidRPr="003B693E" w:rsidRDefault="00A15F17" w:rsidP="003B693E">
      <w:pPr>
        <w:pStyle w:val="a7"/>
        <w:numPr>
          <w:ilvl w:val="0"/>
          <w:numId w:val="4"/>
        </w:numPr>
        <w:tabs>
          <w:tab w:val="left" w:pos="1416"/>
        </w:tabs>
        <w:spacing w:line="237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3B693E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чрежд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693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оп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ол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ите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льн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35146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3B693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зова</w:t>
      </w:r>
      <w:r w:rsidRPr="003B693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>ия</w:t>
      </w:r>
      <w:r w:rsidRPr="003B693E">
        <w:rPr>
          <w:rFonts w:ascii="Times New Roman" w:eastAsia="Times New Roman" w:hAnsi="Times New Roman"/>
          <w:color w:val="000000"/>
          <w:sz w:val="28"/>
          <w:szCs w:val="28"/>
        </w:rPr>
        <w:tab/>
        <w:t>.</w:t>
      </w:r>
    </w:p>
    <w:p w:rsidR="00A15F17" w:rsidRDefault="00351469" w:rsidP="0035146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5F17" w:rsidRPr="00087F42">
        <w:rPr>
          <w:rFonts w:ascii="Times New Roman" w:hAnsi="Times New Roman"/>
          <w:sz w:val="28"/>
          <w:szCs w:val="28"/>
        </w:rPr>
        <w:t>МБОУ «</w:t>
      </w:r>
      <w:proofErr w:type="spellStart"/>
      <w:r w:rsidR="00A15F17" w:rsidRPr="00087F42">
        <w:rPr>
          <w:rFonts w:ascii="Times New Roman" w:hAnsi="Times New Roman"/>
          <w:sz w:val="28"/>
          <w:szCs w:val="28"/>
        </w:rPr>
        <w:t>Карапсельская</w:t>
      </w:r>
      <w:proofErr w:type="spellEnd"/>
      <w:r w:rsidR="00A15F17" w:rsidRPr="00087F42">
        <w:rPr>
          <w:rFonts w:ascii="Times New Roman" w:hAnsi="Times New Roman"/>
          <w:sz w:val="28"/>
          <w:szCs w:val="28"/>
        </w:rPr>
        <w:t xml:space="preserve"> СОШ № 13» имеет филиал </w:t>
      </w:r>
      <w:proofErr w:type="spellStart"/>
      <w:r w:rsidR="00A15F17" w:rsidRPr="00087F42">
        <w:rPr>
          <w:rFonts w:ascii="Times New Roman" w:hAnsi="Times New Roman"/>
          <w:sz w:val="28"/>
          <w:szCs w:val="28"/>
        </w:rPr>
        <w:t>Степановская</w:t>
      </w:r>
      <w:proofErr w:type="spellEnd"/>
      <w:r w:rsidR="00A15F17" w:rsidRPr="00087F42">
        <w:rPr>
          <w:rFonts w:ascii="Times New Roman" w:hAnsi="Times New Roman"/>
          <w:sz w:val="28"/>
          <w:szCs w:val="28"/>
        </w:rPr>
        <w:t xml:space="preserve"> НОШ № 20;</w:t>
      </w:r>
      <w:r>
        <w:rPr>
          <w:rFonts w:ascii="Times New Roman" w:hAnsi="Times New Roman"/>
          <w:sz w:val="28"/>
          <w:szCs w:val="28"/>
        </w:rPr>
        <w:t xml:space="preserve"> </w:t>
      </w:r>
      <w:r w:rsidR="00A15F17" w:rsidRPr="00087F42">
        <w:rPr>
          <w:rFonts w:ascii="Times New Roman" w:hAnsi="Times New Roman"/>
          <w:sz w:val="28"/>
          <w:szCs w:val="28"/>
        </w:rPr>
        <w:t>МБОУ «</w:t>
      </w:r>
      <w:proofErr w:type="spellStart"/>
      <w:r w:rsidR="00A15F17" w:rsidRPr="00087F42">
        <w:rPr>
          <w:rFonts w:ascii="Times New Roman" w:hAnsi="Times New Roman"/>
          <w:sz w:val="28"/>
          <w:szCs w:val="28"/>
        </w:rPr>
        <w:t>Далайская</w:t>
      </w:r>
      <w:proofErr w:type="spellEnd"/>
      <w:r w:rsidR="00A15F17" w:rsidRPr="00087F42">
        <w:rPr>
          <w:rFonts w:ascii="Times New Roman" w:hAnsi="Times New Roman"/>
          <w:sz w:val="28"/>
          <w:szCs w:val="28"/>
        </w:rPr>
        <w:t xml:space="preserve"> СОШ № 11»  </w:t>
      </w:r>
      <w:r>
        <w:rPr>
          <w:rFonts w:ascii="Times New Roman" w:hAnsi="Times New Roman"/>
          <w:sz w:val="28"/>
          <w:szCs w:val="28"/>
        </w:rPr>
        <w:t xml:space="preserve">имеет уровень дошкольного образования в результате реорганизации </w:t>
      </w:r>
      <w:r w:rsidR="00A15F17" w:rsidRPr="00087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F17" w:rsidRPr="00087F42">
        <w:rPr>
          <w:rFonts w:ascii="Times New Roman" w:hAnsi="Times New Roman"/>
          <w:sz w:val="28"/>
          <w:szCs w:val="28"/>
        </w:rPr>
        <w:t>Далайск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5F17" w:rsidRPr="00087F42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15F17" w:rsidRPr="00087F42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A15F17" w:rsidRPr="00087F42">
        <w:rPr>
          <w:rFonts w:ascii="Times New Roman" w:hAnsi="Times New Roman"/>
          <w:sz w:val="28"/>
          <w:szCs w:val="28"/>
        </w:rPr>
        <w:t xml:space="preserve">   с февраля 2018 года. В настоящее время идет реорганизация МБДОУ «</w:t>
      </w:r>
      <w:proofErr w:type="spellStart"/>
      <w:r w:rsidR="00A15F17" w:rsidRPr="00087F42">
        <w:rPr>
          <w:rFonts w:ascii="Times New Roman" w:hAnsi="Times New Roman"/>
          <w:sz w:val="28"/>
          <w:szCs w:val="28"/>
        </w:rPr>
        <w:t>Новогородский</w:t>
      </w:r>
      <w:proofErr w:type="spellEnd"/>
      <w:r w:rsidR="00A15F17" w:rsidRPr="00087F42">
        <w:rPr>
          <w:rFonts w:ascii="Times New Roman" w:hAnsi="Times New Roman"/>
          <w:sz w:val="28"/>
          <w:szCs w:val="28"/>
        </w:rPr>
        <w:t xml:space="preserve"> детский сад»</w:t>
      </w:r>
      <w:r w:rsidR="00182FEF">
        <w:rPr>
          <w:rFonts w:ascii="Times New Roman" w:hAnsi="Times New Roman"/>
          <w:sz w:val="28"/>
          <w:szCs w:val="28"/>
        </w:rPr>
        <w:t xml:space="preserve"> </w:t>
      </w:r>
      <w:r w:rsidR="00A15F17" w:rsidRPr="00087F42">
        <w:rPr>
          <w:rFonts w:ascii="Times New Roman" w:hAnsi="Times New Roman"/>
          <w:sz w:val="28"/>
          <w:szCs w:val="28"/>
        </w:rPr>
        <w:t>путем присоединения к МБОУ «Новогородская</w:t>
      </w:r>
      <w:r w:rsidR="00A15F17">
        <w:rPr>
          <w:rFonts w:ascii="Times New Roman" w:hAnsi="Times New Roman"/>
          <w:sz w:val="28"/>
          <w:szCs w:val="28"/>
        </w:rPr>
        <w:t xml:space="preserve"> СОШ».</w:t>
      </w:r>
    </w:p>
    <w:p w:rsidR="002A7EBA" w:rsidRDefault="003F7494" w:rsidP="003F7494">
      <w:pPr>
        <w:spacing w:line="237" w:lineRule="auto"/>
        <w:ind w:left="1" w:right="-15" w:hanging="1"/>
        <w:jc w:val="both"/>
        <w:rPr>
          <w:rFonts w:ascii="Symbol" w:eastAsia="Symbol" w:hAnsi="Symbol" w:cs="Symbol"/>
          <w:color w:val="000000"/>
          <w:sz w:val="28"/>
          <w:szCs w:val="28"/>
          <w:highlight w:val="yellow"/>
        </w:rPr>
      </w:pPr>
      <w:r w:rsidRPr="003F7494">
        <w:rPr>
          <w:rFonts w:ascii="Symbol" w:eastAsia="Symbol" w:hAnsi="Symbol" w:cs="Symbo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3286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7EBA" w:rsidRDefault="002A7EBA" w:rsidP="003F7494">
      <w:pPr>
        <w:spacing w:line="237" w:lineRule="auto"/>
        <w:ind w:left="1" w:right="-15" w:hanging="1"/>
        <w:jc w:val="both"/>
        <w:rPr>
          <w:rFonts w:ascii="Symbol" w:eastAsia="Symbol" w:hAnsi="Symbol" w:cs="Symbol"/>
          <w:color w:val="000000"/>
          <w:sz w:val="28"/>
          <w:szCs w:val="28"/>
          <w:highlight w:val="yellow"/>
        </w:rPr>
      </w:pPr>
    </w:p>
    <w:p w:rsidR="007555A8" w:rsidRPr="002F78DF" w:rsidRDefault="007555A8" w:rsidP="002A7EBA">
      <w:pPr>
        <w:spacing w:line="237" w:lineRule="auto"/>
        <w:ind w:left="1" w:righ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2F78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8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8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ес</w:t>
      </w:r>
      <w:r w:rsidRPr="002F78D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ими лица</w:t>
      </w:r>
      <w:r w:rsidRPr="002F78D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и яв</w:t>
      </w:r>
      <w:r w:rsidRPr="002F78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яются</w:t>
      </w:r>
      <w:r w:rsidRPr="002F78D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15</w:t>
      </w:r>
      <w:r w:rsidR="003F7494" w:rsidRPr="002F78D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школ,</w:t>
      </w:r>
      <w:r w:rsidR="003F7494" w:rsidRPr="002F7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3F7494" w:rsidRPr="002F7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соста</w:t>
      </w:r>
      <w:r w:rsidRPr="002F78D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 xml:space="preserve"> ко</w:t>
      </w:r>
      <w:r w:rsidRPr="002F78D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Pr="002F78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2F78DF">
        <w:rPr>
          <w:rFonts w:ascii="Times New Roman" w:eastAsia="Times New Roman" w:hAnsi="Times New Roman"/>
          <w:color w:val="000000"/>
          <w:sz w:val="28"/>
          <w:szCs w:val="28"/>
        </w:rPr>
        <w:t xml:space="preserve">х входит приостановленная </w:t>
      </w:r>
      <w:proofErr w:type="spellStart"/>
      <w:r w:rsidRPr="002F78DF">
        <w:rPr>
          <w:rFonts w:ascii="Times New Roman" w:eastAsia="Times New Roman" w:hAnsi="Times New Roman"/>
          <w:color w:val="000000"/>
          <w:sz w:val="28"/>
          <w:szCs w:val="28"/>
        </w:rPr>
        <w:t>Росляковская</w:t>
      </w:r>
      <w:proofErr w:type="spellEnd"/>
      <w:r w:rsidRPr="002F78DF">
        <w:rPr>
          <w:rFonts w:ascii="Times New Roman" w:eastAsia="Times New Roman" w:hAnsi="Times New Roman"/>
          <w:color w:val="000000"/>
          <w:sz w:val="28"/>
          <w:szCs w:val="28"/>
        </w:rPr>
        <w:t xml:space="preserve"> начальная школа;</w:t>
      </w:r>
    </w:p>
    <w:p w:rsidR="00A15F17" w:rsidRDefault="00A15F17" w:rsidP="006D7DC5">
      <w:pPr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C5" w:rsidRDefault="006D7DC5" w:rsidP="006D7DC5">
      <w:pPr>
        <w:ind w:firstLine="539"/>
        <w:jc w:val="center"/>
        <w:rPr>
          <w:rFonts w:ascii="Calibri" w:eastAsia="Calibri" w:hAnsi="Calibri" w:cs="Times New Roman"/>
        </w:rPr>
      </w:pPr>
      <w:r w:rsidRPr="00A15F17">
        <w:rPr>
          <w:rFonts w:ascii="Times New Roman" w:eastAsia="Calibri" w:hAnsi="Times New Roman" w:cs="Times New Roman"/>
          <w:b/>
          <w:sz w:val="28"/>
          <w:szCs w:val="28"/>
        </w:rPr>
        <w:t>Образовательная сеть</w:t>
      </w:r>
      <w:r w:rsidRPr="00A15F17">
        <w:rPr>
          <w:rFonts w:ascii="Times New Roman" w:hAnsi="Times New Roman" w:cs="Times New Roman"/>
          <w:b/>
          <w:sz w:val="28"/>
          <w:szCs w:val="28"/>
        </w:rPr>
        <w:t xml:space="preserve"> района, подведомственные управлению образования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524"/>
        <w:gridCol w:w="1525"/>
        <w:gridCol w:w="1525"/>
        <w:gridCol w:w="1525"/>
        <w:gridCol w:w="1525"/>
      </w:tblGrid>
      <w:tr w:rsidR="00A15F17" w:rsidRPr="00A15F17" w:rsidTr="00A15F17">
        <w:tc>
          <w:tcPr>
            <w:tcW w:w="1982" w:type="dxa"/>
            <w:vMerge w:val="restart"/>
            <w:shd w:val="clear" w:color="auto" w:fill="auto"/>
            <w:vAlign w:val="bottom"/>
          </w:tcPr>
          <w:p w:rsidR="00A15F17" w:rsidRPr="00A15F17" w:rsidRDefault="00A15F17" w:rsidP="00A15F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Годы/ОУ</w:t>
            </w:r>
          </w:p>
        </w:tc>
        <w:tc>
          <w:tcPr>
            <w:tcW w:w="7624" w:type="dxa"/>
            <w:gridSpan w:val="5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A15F17" w:rsidRPr="00A15F17" w:rsidTr="00A15F17">
        <w:tc>
          <w:tcPr>
            <w:tcW w:w="1982" w:type="dxa"/>
            <w:vMerge/>
            <w:shd w:val="clear" w:color="auto" w:fill="auto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НОШ</w:t>
            </w:r>
          </w:p>
        </w:tc>
        <w:tc>
          <w:tcPr>
            <w:tcW w:w="1525" w:type="dxa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ООШ</w:t>
            </w:r>
          </w:p>
        </w:tc>
        <w:tc>
          <w:tcPr>
            <w:tcW w:w="1525" w:type="dxa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1525" w:type="dxa"/>
          </w:tcPr>
          <w:p w:rsidR="00A15F17" w:rsidRPr="00A15F17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25" w:type="dxa"/>
          </w:tcPr>
          <w:p w:rsidR="00A15F17" w:rsidRPr="00C7091B" w:rsidRDefault="00A15F17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</w:t>
            </w:r>
          </w:p>
        </w:tc>
      </w:tr>
      <w:tr w:rsidR="006D7DC5" w:rsidRPr="00A15F17" w:rsidTr="00A15F17">
        <w:tc>
          <w:tcPr>
            <w:tcW w:w="1982" w:type="dxa"/>
            <w:shd w:val="clear" w:color="auto" w:fill="FF9900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24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C5" w:rsidRPr="00A15F17" w:rsidTr="00A15F17">
        <w:tc>
          <w:tcPr>
            <w:tcW w:w="1982" w:type="dxa"/>
            <w:shd w:val="clear" w:color="auto" w:fill="FFFF00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24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C5" w:rsidRPr="00A15F17" w:rsidTr="00A15F17">
        <w:tc>
          <w:tcPr>
            <w:tcW w:w="1982" w:type="dxa"/>
            <w:shd w:val="clear" w:color="auto" w:fill="99CC00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24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C5" w:rsidRPr="00A15F17" w:rsidTr="00A15F17">
        <w:tc>
          <w:tcPr>
            <w:tcW w:w="1982" w:type="dxa"/>
            <w:shd w:val="clear" w:color="auto" w:fill="00CCFF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24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C5" w:rsidRPr="00A15F17" w:rsidTr="00A15F17">
        <w:tc>
          <w:tcPr>
            <w:tcW w:w="1982" w:type="dxa"/>
            <w:shd w:val="clear" w:color="auto" w:fill="FFCC99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24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7DC5" w:rsidRDefault="006D7DC5" w:rsidP="006D7DC5">
      <w:pPr>
        <w:ind w:firstLine="5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951"/>
        <w:gridCol w:w="2551"/>
        <w:gridCol w:w="2552"/>
        <w:gridCol w:w="2552"/>
      </w:tblGrid>
      <w:tr w:rsidR="006D7DC5" w:rsidRPr="00A15F17" w:rsidTr="00A15F17">
        <w:tc>
          <w:tcPr>
            <w:tcW w:w="9606" w:type="dxa"/>
            <w:gridSpan w:val="4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 т.ч. </w:t>
            </w:r>
            <w:r w:rsidR="00A15F17" w:rsidRPr="00A15F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</w:t>
            </w:r>
            <w:r w:rsidRPr="00A15F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илиалы</w:t>
            </w:r>
          </w:p>
        </w:tc>
      </w:tr>
      <w:tr w:rsidR="006D7DC5" w:rsidRPr="00A15F17" w:rsidTr="00A15F17">
        <w:tc>
          <w:tcPr>
            <w:tcW w:w="19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Годы/ОУ</w:t>
            </w:r>
          </w:p>
        </w:tc>
        <w:tc>
          <w:tcPr>
            <w:tcW w:w="2551" w:type="dxa"/>
          </w:tcPr>
          <w:p w:rsidR="006D7DC5" w:rsidRPr="00A15F17" w:rsidRDefault="006D7DC5" w:rsidP="00FA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НОШ</w:t>
            </w:r>
          </w:p>
        </w:tc>
        <w:tc>
          <w:tcPr>
            <w:tcW w:w="2552" w:type="dxa"/>
          </w:tcPr>
          <w:p w:rsidR="006D7DC5" w:rsidRPr="00A15F17" w:rsidRDefault="006D7DC5" w:rsidP="00FA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552" w:type="dxa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Базовое ОУ</w:t>
            </w:r>
          </w:p>
        </w:tc>
      </w:tr>
      <w:tr w:rsidR="006D7DC5" w:rsidRPr="00A15F17" w:rsidTr="00A15F17">
        <w:tc>
          <w:tcPr>
            <w:tcW w:w="1951" w:type="dxa"/>
            <w:shd w:val="clear" w:color="auto" w:fill="F79646" w:themeFill="accent6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2014</w:t>
            </w:r>
          </w:p>
        </w:tc>
        <w:tc>
          <w:tcPr>
            <w:tcW w:w="25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Степановская НОШ</w:t>
            </w:r>
            <w:r w:rsid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20</w:t>
            </w: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A15F17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Карапсельская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13»</w:t>
            </w:r>
          </w:p>
        </w:tc>
      </w:tr>
      <w:tr w:rsidR="006D7DC5" w:rsidRPr="00A15F17" w:rsidTr="00A15F17">
        <w:tc>
          <w:tcPr>
            <w:tcW w:w="1951" w:type="dxa"/>
            <w:shd w:val="clear" w:color="auto" w:fill="FFFF00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</w:t>
            </w:r>
          </w:p>
        </w:tc>
        <w:tc>
          <w:tcPr>
            <w:tcW w:w="25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DC5" w:rsidRPr="00A15F17" w:rsidTr="00A15F17">
        <w:tc>
          <w:tcPr>
            <w:tcW w:w="1951" w:type="dxa"/>
            <w:shd w:val="clear" w:color="auto" w:fill="92D050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25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DC5" w:rsidRPr="00A15F17" w:rsidTr="00A15F17">
        <w:tc>
          <w:tcPr>
            <w:tcW w:w="1951" w:type="dxa"/>
            <w:shd w:val="clear" w:color="auto" w:fill="00B0F0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25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DC5" w:rsidRPr="00A15F17" w:rsidTr="00A15F17">
        <w:tc>
          <w:tcPr>
            <w:tcW w:w="1951" w:type="dxa"/>
            <w:shd w:val="clear" w:color="auto" w:fill="FABF8F" w:themeFill="accent6" w:themeFillTint="99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2551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Далайский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2552" w:type="dxa"/>
            <w:vAlign w:val="center"/>
          </w:tcPr>
          <w:p w:rsidR="006D7DC5" w:rsidRPr="00A15F17" w:rsidRDefault="00A15F17" w:rsidP="00A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Далайская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11»</w:t>
            </w:r>
          </w:p>
        </w:tc>
      </w:tr>
    </w:tbl>
    <w:p w:rsidR="007555A8" w:rsidRPr="00B071F1" w:rsidRDefault="009F3A73" w:rsidP="008E44C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F78DF">
        <w:rPr>
          <w:rFonts w:ascii="Times New Roman" w:hAnsi="Times New Roman"/>
          <w:sz w:val="28"/>
          <w:szCs w:val="28"/>
        </w:rPr>
        <w:t>В настоящее время идет реорганизация МБДОУ «Новогородский детский сад»</w:t>
      </w:r>
      <w:r w:rsidR="008E44CD">
        <w:rPr>
          <w:rFonts w:ascii="Times New Roman" w:hAnsi="Times New Roman"/>
          <w:sz w:val="28"/>
          <w:szCs w:val="28"/>
        </w:rPr>
        <w:t xml:space="preserve"> </w:t>
      </w:r>
      <w:r w:rsidRPr="002F78DF">
        <w:rPr>
          <w:rFonts w:ascii="Times New Roman" w:hAnsi="Times New Roman"/>
          <w:sz w:val="28"/>
          <w:szCs w:val="28"/>
        </w:rPr>
        <w:t>путем присоединения к МБОУ «Новогородская</w:t>
      </w:r>
      <w:r>
        <w:rPr>
          <w:rFonts w:ascii="Times New Roman" w:hAnsi="Times New Roman"/>
          <w:sz w:val="28"/>
          <w:szCs w:val="28"/>
        </w:rPr>
        <w:t xml:space="preserve"> СОШ».</w:t>
      </w:r>
    </w:p>
    <w:p w:rsidR="007555A8" w:rsidRDefault="007555A8" w:rsidP="009F3A73">
      <w:pPr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ОУ района имеют лицензии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и свидетельство о государственной аккредитации, что дает право на выдачу документа об образовании государственного образца.</w:t>
      </w:r>
    </w:p>
    <w:p w:rsidR="006D7DC5" w:rsidRPr="00087F42" w:rsidRDefault="006D7DC5" w:rsidP="006D7DC5">
      <w:pPr>
        <w:ind w:firstLine="5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F42">
        <w:rPr>
          <w:rFonts w:ascii="Times New Roman" w:hAnsi="Times New Roman"/>
          <w:sz w:val="28"/>
          <w:szCs w:val="28"/>
        </w:rPr>
        <w:t>Численность учащихся за последние 2 года осталась практически без изменения – 2957 человек.</w:t>
      </w:r>
      <w:proofErr w:type="gramEnd"/>
      <w:r w:rsidRPr="00087F42">
        <w:rPr>
          <w:rFonts w:ascii="Times New Roman" w:hAnsi="Times New Roman"/>
          <w:sz w:val="28"/>
          <w:szCs w:val="28"/>
        </w:rPr>
        <w:t xml:space="preserve"> Ежегодно количество первоклассников составляет чуть больше 300 человек (в 2018 году - 312).</w:t>
      </w:r>
    </w:p>
    <w:p w:rsidR="006D7DC5" w:rsidRDefault="006D7DC5" w:rsidP="006D7DC5">
      <w:pPr>
        <w:ind w:firstLine="708"/>
        <w:jc w:val="both"/>
        <w:rPr>
          <w:rFonts w:ascii="Times New Roman" w:eastAsia="Times New Roman" w:hAnsi="Times New Roman"/>
          <w:color w:val="FF0000"/>
          <w:spacing w:val="-3"/>
          <w:sz w:val="28"/>
          <w:szCs w:val="28"/>
        </w:rPr>
      </w:pPr>
      <w:r w:rsidRPr="00087F42">
        <w:rPr>
          <w:rFonts w:ascii="Times New Roman" w:hAnsi="Times New Roman"/>
          <w:sz w:val="28"/>
          <w:szCs w:val="28"/>
        </w:rPr>
        <w:t>Количество классов-комплектов осталось на уровне 2017 года - 207, средняя их н</w:t>
      </w:r>
      <w:r w:rsidRPr="00087F4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87F4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087F42">
        <w:rPr>
          <w:rFonts w:ascii="Times New Roman" w:eastAsia="Times New Roman" w:hAnsi="Times New Roman"/>
          <w:color w:val="000000"/>
          <w:sz w:val="28"/>
          <w:szCs w:val="28"/>
        </w:rPr>
        <w:t>ол</w:t>
      </w:r>
      <w:r w:rsidRPr="00087F4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Pr="00087F42">
        <w:rPr>
          <w:rFonts w:ascii="Times New Roman" w:eastAsia="Times New Roman" w:hAnsi="Times New Roman"/>
          <w:color w:val="000000"/>
          <w:sz w:val="28"/>
          <w:szCs w:val="28"/>
        </w:rPr>
        <w:t>яемость</w:t>
      </w:r>
      <w:r w:rsidRPr="00087F4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составила 13,67 человек.</w:t>
      </w:r>
    </w:p>
    <w:p w:rsidR="006D7DC5" w:rsidRDefault="006D7DC5" w:rsidP="006D7DC5">
      <w:pPr>
        <w:ind w:firstLine="708"/>
        <w:jc w:val="both"/>
        <w:rPr>
          <w:rFonts w:ascii="Times New Roman" w:eastAsia="Times New Roman" w:hAnsi="Times New Roman"/>
          <w:color w:val="FF0000"/>
          <w:spacing w:val="-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7DC5" w:rsidRPr="00A15F17" w:rsidTr="00C7091B">
        <w:tc>
          <w:tcPr>
            <w:tcW w:w="2392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93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Количество классов-комплектов</w:t>
            </w:r>
          </w:p>
        </w:tc>
        <w:tc>
          <w:tcPr>
            <w:tcW w:w="2393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во вторую смену</w:t>
            </w:r>
          </w:p>
        </w:tc>
      </w:tr>
      <w:tr w:rsidR="006D7DC5" w:rsidRPr="00A15F17" w:rsidTr="00FA7CC1">
        <w:tc>
          <w:tcPr>
            <w:tcW w:w="2392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2928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199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395</w:t>
            </w:r>
          </w:p>
        </w:tc>
      </w:tr>
      <w:tr w:rsidR="006D7DC5" w:rsidRPr="00A15F17" w:rsidTr="00FA7CC1">
        <w:tc>
          <w:tcPr>
            <w:tcW w:w="2392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2016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2945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200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442</w:t>
            </w:r>
          </w:p>
        </w:tc>
      </w:tr>
      <w:tr w:rsidR="006D7DC5" w:rsidRPr="00A15F17" w:rsidTr="00FA7CC1">
        <w:tc>
          <w:tcPr>
            <w:tcW w:w="2392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2955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207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458</w:t>
            </w:r>
          </w:p>
        </w:tc>
      </w:tr>
      <w:tr w:rsidR="006D7DC5" w:rsidRPr="00A15F17" w:rsidTr="00FA7CC1">
        <w:tc>
          <w:tcPr>
            <w:tcW w:w="2392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2957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207</w:t>
            </w:r>
          </w:p>
        </w:tc>
        <w:tc>
          <w:tcPr>
            <w:tcW w:w="2393" w:type="dxa"/>
          </w:tcPr>
          <w:p w:rsidR="006D7DC5" w:rsidRPr="00A15F17" w:rsidRDefault="006D7DC5" w:rsidP="00FA7CC1">
            <w:pPr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</w:pPr>
            <w:r w:rsidRPr="00A15F1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469</w:t>
            </w:r>
          </w:p>
        </w:tc>
      </w:tr>
    </w:tbl>
    <w:p w:rsidR="007555A8" w:rsidRDefault="00611E1E" w:rsidP="007555A8">
      <w:pPr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3F74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5A8">
        <w:rPr>
          <w:rFonts w:ascii="Times New Roman" w:hAnsi="Times New Roman"/>
          <w:color w:val="000000" w:themeColor="text1"/>
          <w:sz w:val="28"/>
          <w:szCs w:val="28"/>
        </w:rPr>
        <w:t>детей, обучающихся во вторую смену в школах города,</w:t>
      </w:r>
      <w:r w:rsidR="003F74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5A8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3F74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5A8">
        <w:rPr>
          <w:rFonts w:ascii="Times New Roman" w:hAnsi="Times New Roman"/>
          <w:color w:val="000000" w:themeColor="text1"/>
          <w:sz w:val="28"/>
          <w:szCs w:val="28"/>
        </w:rPr>
        <w:t xml:space="preserve">469 обучающихся. </w:t>
      </w:r>
      <w:r w:rsidR="007555A8">
        <w:rPr>
          <w:rFonts w:ascii="Times New Roman" w:hAnsi="Times New Roman"/>
          <w:sz w:val="28"/>
          <w:szCs w:val="28"/>
        </w:rPr>
        <w:t>Анализ сложившейся ситуации свидетельствует о невозможности уменьшить количество классов, занимающихся во вторую смену, так как в МБОУ «Иланская СОШ № 1», МБОУ «Иланская СОШ № 2» и МБОУ «Иланская СОШ № 41» еще ранее была проведена оптимизация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 w:rsidR="007555A8">
        <w:rPr>
          <w:rFonts w:ascii="Times New Roman" w:hAnsi="Times New Roman"/>
          <w:sz w:val="28"/>
          <w:szCs w:val="28"/>
        </w:rPr>
        <w:t>всех школьных площадей.</w:t>
      </w:r>
      <w:r w:rsidR="0074092F">
        <w:rPr>
          <w:rFonts w:ascii="Times New Roman" w:hAnsi="Times New Roman"/>
          <w:sz w:val="28"/>
          <w:szCs w:val="28"/>
        </w:rPr>
        <w:t xml:space="preserve"> Для ухода от 2 смены необходимо или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 w:rsidR="0074092F">
        <w:rPr>
          <w:rFonts w:ascii="Times New Roman" w:hAnsi="Times New Roman"/>
          <w:sz w:val="28"/>
          <w:szCs w:val="28"/>
        </w:rPr>
        <w:t>строительство новой школы, или модульных пристроек к существующим зданиям.</w:t>
      </w:r>
    </w:p>
    <w:p w:rsidR="007555A8" w:rsidRPr="00087F42" w:rsidRDefault="007555A8" w:rsidP="003F74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дети школьного возраста, проживающие на территории Иланского района, охвачены обучением. Формы обучения удовлетворяют </w:t>
      </w:r>
      <w:r w:rsidRPr="00087F42">
        <w:rPr>
          <w:rFonts w:ascii="Times New Roman" w:hAnsi="Times New Roman"/>
          <w:sz w:val="28"/>
          <w:szCs w:val="28"/>
        </w:rPr>
        <w:t>образовательные потребности всех проживающих на территории района. Приоритетной является очная форма. Самая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востребованная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форма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получения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образования –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в общеобразовательных организациях.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18 школьников обучаются на дому по медицинским показаниям, 5</w:t>
      </w:r>
      <w:r w:rsidR="00E96E47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 xml:space="preserve">детей с ограниченными возможностями здоровья являются обучающимися </w:t>
      </w:r>
      <w:r w:rsidRPr="00087F42">
        <w:rPr>
          <w:rFonts w:ascii="Times New Roman" w:hAnsi="Times New Roman"/>
          <w:sz w:val="28"/>
          <w:szCs w:val="28"/>
        </w:rPr>
        <w:lastRenderedPageBreak/>
        <w:t>Красноярской краевой школы дистанционного образования. В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3 школах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МБОУ «Новониколаевская СОШ № 9», «Новогородская СОШ № 3» и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«Прокопьевская ООШ № 18» организовано дистанционное обучение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>123 школьников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Pr="00087F42">
        <w:rPr>
          <w:rFonts w:ascii="Times New Roman" w:hAnsi="Times New Roman"/>
          <w:sz w:val="28"/>
          <w:szCs w:val="28"/>
        </w:rPr>
        <w:t xml:space="preserve">вследствие отсутствия учителей английского языка, физики. </w:t>
      </w:r>
    </w:p>
    <w:p w:rsidR="006D7DC5" w:rsidRPr="00087F42" w:rsidRDefault="00755825" w:rsidP="002A7E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7F42">
        <w:rPr>
          <w:rFonts w:ascii="Times New Roman" w:hAnsi="Times New Roman"/>
          <w:sz w:val="28"/>
          <w:szCs w:val="28"/>
        </w:rPr>
        <w:t>131 ученик обуча</w:t>
      </w:r>
      <w:r w:rsidR="00E96E47" w:rsidRPr="00087F42">
        <w:rPr>
          <w:rFonts w:ascii="Times New Roman" w:hAnsi="Times New Roman"/>
          <w:sz w:val="28"/>
          <w:szCs w:val="28"/>
        </w:rPr>
        <w:t>е</w:t>
      </w:r>
      <w:r w:rsidRPr="00087F42">
        <w:rPr>
          <w:rFonts w:ascii="Times New Roman" w:hAnsi="Times New Roman"/>
          <w:sz w:val="28"/>
          <w:szCs w:val="28"/>
        </w:rPr>
        <w:t>тся по адаптированным программам дл</w:t>
      </w:r>
      <w:r w:rsidR="0074092F" w:rsidRPr="00087F42">
        <w:rPr>
          <w:rFonts w:ascii="Times New Roman" w:hAnsi="Times New Roman"/>
          <w:sz w:val="28"/>
          <w:szCs w:val="28"/>
        </w:rPr>
        <w:t>я детей с нарушением интеллекта в 8 школах.</w:t>
      </w:r>
    </w:p>
    <w:p w:rsidR="006D7DC5" w:rsidRPr="004A2063" w:rsidRDefault="006D7DC5" w:rsidP="006D7DC5">
      <w:pPr>
        <w:jc w:val="both"/>
        <w:rPr>
          <w:rFonts w:ascii="Times New Roman" w:hAnsi="Times New Roman"/>
          <w:sz w:val="28"/>
          <w:szCs w:val="28"/>
        </w:rPr>
      </w:pPr>
      <w:r w:rsidRPr="004A2063">
        <w:rPr>
          <w:rFonts w:ascii="Times New Roman" w:hAnsi="Times New Roman"/>
          <w:sz w:val="28"/>
          <w:szCs w:val="28"/>
        </w:rPr>
        <w:t>Эти данные приведены в таблице в сравнении с 2017 годом</w:t>
      </w:r>
    </w:p>
    <w:p w:rsidR="006D7DC5" w:rsidRPr="004A2063" w:rsidRDefault="006D7DC5" w:rsidP="006D7DC5">
      <w:pPr>
        <w:jc w:val="both"/>
        <w:rPr>
          <w:rFonts w:ascii="Times New Roman" w:hAnsi="Times New Roman"/>
          <w:sz w:val="28"/>
          <w:szCs w:val="28"/>
        </w:rPr>
      </w:pPr>
      <w:r w:rsidRPr="004A206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495"/>
        <w:gridCol w:w="2126"/>
        <w:gridCol w:w="1950"/>
      </w:tblGrid>
      <w:tr w:rsidR="006D7DC5" w:rsidRPr="00A15F17" w:rsidTr="00FA7CC1">
        <w:tc>
          <w:tcPr>
            <w:tcW w:w="5495" w:type="dxa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15F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126" w:type="dxa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</w:tc>
        <w:tc>
          <w:tcPr>
            <w:tcW w:w="1950" w:type="dxa"/>
          </w:tcPr>
          <w:p w:rsidR="006D7DC5" w:rsidRPr="00A15F17" w:rsidRDefault="006D7DC5" w:rsidP="00A15F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</w:tc>
      </w:tr>
      <w:tr w:rsidR="006D7DC5" w:rsidRPr="00A15F17" w:rsidTr="00C7091B">
        <w:tc>
          <w:tcPr>
            <w:tcW w:w="5495" w:type="dxa"/>
          </w:tcPr>
          <w:p w:rsidR="006D7DC5" w:rsidRPr="00A15F17" w:rsidRDefault="006D7DC5" w:rsidP="00FA7C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дому по медицинским показаниям</w:t>
            </w:r>
          </w:p>
        </w:tc>
        <w:tc>
          <w:tcPr>
            <w:tcW w:w="2126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50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6D7DC5" w:rsidRPr="00A15F17" w:rsidTr="00C7091B">
        <w:tc>
          <w:tcPr>
            <w:tcW w:w="5495" w:type="dxa"/>
          </w:tcPr>
          <w:p w:rsidR="006D7DC5" w:rsidRPr="00A15F17" w:rsidRDefault="006D7DC5" w:rsidP="00FA7C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Красноярской краевой школе дистанционного образования</w:t>
            </w:r>
          </w:p>
        </w:tc>
        <w:tc>
          <w:tcPr>
            <w:tcW w:w="2126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D7DC5" w:rsidRPr="00A15F17" w:rsidTr="00C7091B">
        <w:tc>
          <w:tcPr>
            <w:tcW w:w="5495" w:type="dxa"/>
          </w:tcPr>
          <w:p w:rsidR="006D7DC5" w:rsidRPr="00A15F17" w:rsidRDefault="006D7DC5" w:rsidP="00FA7C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 детей на дистанционном обучении</w:t>
            </w:r>
          </w:p>
        </w:tc>
        <w:tc>
          <w:tcPr>
            <w:tcW w:w="2126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950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</w:tr>
      <w:tr w:rsidR="006D7DC5" w:rsidRPr="00A15F17" w:rsidTr="00C7091B">
        <w:tc>
          <w:tcPr>
            <w:tcW w:w="5495" w:type="dxa"/>
          </w:tcPr>
          <w:p w:rsidR="006D7DC5" w:rsidRPr="00A15F17" w:rsidRDefault="006D7DC5" w:rsidP="00FA7C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адаптированной программе</w:t>
            </w:r>
          </w:p>
        </w:tc>
        <w:tc>
          <w:tcPr>
            <w:tcW w:w="2126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950" w:type="dxa"/>
            <w:vAlign w:val="center"/>
          </w:tcPr>
          <w:p w:rsidR="006D7DC5" w:rsidRPr="00A15F17" w:rsidRDefault="006D7DC5" w:rsidP="00C709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</w:tr>
    </w:tbl>
    <w:p w:rsidR="006D7DC5" w:rsidRDefault="006D7DC5" w:rsidP="002A7EBA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6FDD" w:rsidRPr="00F80329" w:rsidRDefault="00586FDD" w:rsidP="00586F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0329">
        <w:rPr>
          <w:rFonts w:ascii="Times New Roman" w:hAnsi="Times New Roman"/>
          <w:sz w:val="28"/>
          <w:szCs w:val="28"/>
        </w:rPr>
        <w:t>В МБДОУ «Иланский детский сад №7»  успешно функционирует «Служба ранней помощи» для детей от 0 до 3-х лет по предоставлению комплексной психолого-педагогической помощи семьям с детьми с особенностями в развитии. Этот детский сад стал победителем краевого конкурса по созданию доступной среды с выделением субсидии в размере 1млн</w:t>
      </w:r>
      <w:proofErr w:type="gramStart"/>
      <w:r w:rsidRPr="00F80329">
        <w:rPr>
          <w:rFonts w:ascii="Times New Roman" w:hAnsi="Times New Roman"/>
          <w:sz w:val="28"/>
          <w:szCs w:val="28"/>
        </w:rPr>
        <w:t>.р</w:t>
      </w:r>
      <w:proofErr w:type="gramEnd"/>
      <w:r w:rsidRPr="00F80329">
        <w:rPr>
          <w:rFonts w:ascii="Times New Roman" w:hAnsi="Times New Roman"/>
          <w:sz w:val="28"/>
          <w:szCs w:val="28"/>
        </w:rPr>
        <w:t xml:space="preserve">ублей. </w:t>
      </w:r>
    </w:p>
    <w:p w:rsidR="00586FDD" w:rsidRPr="00F80329" w:rsidRDefault="00586FDD" w:rsidP="00586F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0329">
        <w:rPr>
          <w:rFonts w:ascii="Times New Roman" w:hAnsi="Times New Roman"/>
          <w:sz w:val="28"/>
          <w:szCs w:val="28"/>
        </w:rPr>
        <w:t>За период 2018 года – 44 ребенка посетили «Службу ранней помощи». Занятия посетили 21 ребенок.</w:t>
      </w:r>
    </w:p>
    <w:p w:rsidR="00586FDD" w:rsidRDefault="00586FDD" w:rsidP="00586FDD">
      <w:pPr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586FDD" w:rsidRPr="001E59F5" w:rsidRDefault="00586FDD" w:rsidP="00586FDD">
      <w:pPr>
        <w:jc w:val="both"/>
        <w:rPr>
          <w:rFonts w:ascii="Times New Roman" w:hAnsi="Times New Roman"/>
          <w:sz w:val="28"/>
          <w:szCs w:val="28"/>
          <w:highlight w:val="magent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423862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6FDD" w:rsidRPr="001E59F5" w:rsidRDefault="00586FDD" w:rsidP="00586F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7F42">
        <w:rPr>
          <w:rFonts w:ascii="Times New Roman" w:hAnsi="Times New Roman"/>
          <w:sz w:val="28"/>
          <w:szCs w:val="28"/>
        </w:rPr>
        <w:t>В настоящее время активно разворачивается работа по открытию «Консультационного пункта» для родителей, имеющих детей дошкольного возраста и не посещающих детский сад на базе МБДОУ «Иланский детский сада №20» и открытию «Службы сопровождения и воспитания семей, имеющих детей» на базе  МБДОУ «</w:t>
      </w:r>
      <w:proofErr w:type="spellStart"/>
      <w:r w:rsidRPr="00087F42">
        <w:rPr>
          <w:rFonts w:ascii="Times New Roman" w:hAnsi="Times New Roman"/>
          <w:sz w:val="28"/>
          <w:szCs w:val="28"/>
        </w:rPr>
        <w:t>Далайского</w:t>
      </w:r>
      <w:proofErr w:type="spellEnd"/>
      <w:r w:rsidRPr="00087F42">
        <w:rPr>
          <w:rFonts w:ascii="Times New Roman" w:hAnsi="Times New Roman"/>
          <w:sz w:val="28"/>
          <w:szCs w:val="28"/>
        </w:rPr>
        <w:t xml:space="preserve"> детского сада №11».</w:t>
      </w:r>
    </w:p>
    <w:p w:rsidR="007555A8" w:rsidRDefault="007555A8" w:rsidP="002A7E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в семейной форме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образование 11 человек.</w:t>
      </w:r>
      <w:r w:rsidR="003F7494">
        <w:rPr>
          <w:rFonts w:ascii="Times New Roman" w:hAnsi="Times New Roman"/>
          <w:sz w:val="28"/>
          <w:szCs w:val="28"/>
        </w:rPr>
        <w:t xml:space="preserve"> </w:t>
      </w:r>
    </w:p>
    <w:p w:rsidR="007555A8" w:rsidRDefault="007555A8" w:rsidP="002A7EB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Обучением по новым федеральным государственным образовательным стандартам охвачено 87,3% в общей численности об</w:t>
      </w:r>
      <w:proofErr w:type="gramEnd"/>
      <w:r>
        <w:rPr>
          <w:rFonts w:ascii="Times New Roman" w:hAnsi="Times New Roman"/>
          <w:sz w:val="28"/>
          <w:szCs w:val="28"/>
        </w:rPr>
        <w:t xml:space="preserve">учающихся школ района. </w:t>
      </w:r>
    </w:p>
    <w:p w:rsidR="007555A8" w:rsidRDefault="007555A8" w:rsidP="002A7E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Иланского района от 25.09.2015 № 723-п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 управлением образования осуществлялся мониторинг исполнения муниципального задания всеми образовательными организациями района. Осуществлялся выборочный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показателей, характеризующих объем муниципальных услуг.</w:t>
      </w:r>
    </w:p>
    <w:p w:rsidR="003A17B2" w:rsidRDefault="00611E1E" w:rsidP="002A7E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F42">
        <w:rPr>
          <w:rFonts w:ascii="Times New Roman" w:hAnsi="Times New Roman"/>
          <w:color w:val="000000"/>
          <w:sz w:val="28"/>
          <w:szCs w:val="28"/>
        </w:rPr>
        <w:t>В ноябре</w:t>
      </w:r>
      <w:r w:rsidR="00E96E47" w:rsidRPr="00087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F42">
        <w:rPr>
          <w:rFonts w:ascii="Times New Roman" w:hAnsi="Times New Roman"/>
          <w:color w:val="000000"/>
          <w:sz w:val="28"/>
          <w:szCs w:val="28"/>
        </w:rPr>
        <w:t>2018</w:t>
      </w:r>
      <w:r w:rsidR="008E44CD" w:rsidRPr="00087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F42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в образовательных организациях муниципалитета было проведено анкетирование потребителей муниципальных услуг</w:t>
      </w:r>
      <w:r w:rsidR="003F7494" w:rsidRPr="00087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(работ), оказываемых (выполняемых)</w:t>
      </w:r>
      <w:r w:rsidR="003F7494" w:rsidRPr="00087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sz w:val="28"/>
          <w:szCs w:val="28"/>
        </w:rPr>
        <w:t>школами,</w:t>
      </w:r>
      <w:r w:rsidR="003F7494" w:rsidRPr="00087F42">
        <w:rPr>
          <w:rFonts w:ascii="Times New Roman" w:hAnsi="Times New Roman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sz w:val="28"/>
          <w:szCs w:val="28"/>
        </w:rPr>
        <w:t>детскими садами и центром дополнительного образования. В специальном опросе населения о качестве муниципальных услуг приняли участие 3211 получателей, что составило 81,3% от общего числа потребителей.</w:t>
      </w:r>
      <w:r w:rsidR="00E96E47" w:rsidRPr="00087F42">
        <w:rPr>
          <w:rFonts w:ascii="Times New Roman" w:hAnsi="Times New Roman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В 83% от общего числа</w:t>
      </w:r>
      <w:r w:rsidR="003F7494" w:rsidRPr="00087F4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образовательных организаций</w:t>
      </w:r>
      <w:r w:rsidR="003F7494" w:rsidRPr="00087F4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оце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довлет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орен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 xml:space="preserve">ости 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отр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бностив м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н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ц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 xml:space="preserve">пальных 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сл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гах (работах) опрошенн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х по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р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бител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й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колеблется от 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74% до 100%, т.е. 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сл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ги соот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етст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7555A8" w:rsidRPr="00087F42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ют потребности по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ребите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ей.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 xml:space="preserve"> В остальных учреждениях 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сл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ги в целом соот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етс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ют</w:t>
      </w:r>
      <w:r w:rsidR="003F7494" w:rsidRPr="00087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по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ребности по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еби</w:t>
      </w:r>
      <w:r w:rsidR="007555A8" w:rsidRPr="00087F42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л</w:t>
      </w:r>
      <w:r w:rsidR="007555A8" w:rsidRPr="00087F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7555A8" w:rsidRPr="00087F42">
        <w:rPr>
          <w:rFonts w:ascii="Times New Roman" w:hAnsi="Times New Roman"/>
          <w:color w:val="000000"/>
          <w:sz w:val="28"/>
          <w:szCs w:val="28"/>
        </w:rPr>
        <w:t>й.</w:t>
      </w:r>
      <w:r w:rsidR="00B071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55A8" w:rsidRDefault="003A17B2" w:rsidP="002A7EBA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A17B2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7B2" w:rsidRPr="00B071F1" w:rsidRDefault="003A17B2" w:rsidP="002A7EBA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55A8" w:rsidRDefault="007555A8" w:rsidP="007555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 образовательными организациями района проанализированы результаты проведенного мониторинга, сделаны соответствующие выводы и намечены действия по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повышению качества предоставляемых услуг. </w:t>
      </w:r>
    </w:p>
    <w:p w:rsidR="00755825" w:rsidRDefault="007555A8" w:rsidP="00755825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2018 году </w:t>
      </w:r>
      <w:r>
        <w:rPr>
          <w:rFonts w:ascii="Times New Roman" w:hAnsi="Times New Roman"/>
          <w:sz w:val="28"/>
          <w:szCs w:val="28"/>
        </w:rPr>
        <w:t>Министерством образования Красноярского края проведены выездные проверки в отношении четырех школ – МБОУ «Иланская СОШ № 2», «Южно-Александровская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5», «Соколовская СОШ № 4»,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Кучердаевская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15».</w:t>
      </w:r>
      <w:r w:rsidR="003F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организации подвергались контролю выполнения лицензионных требований, федеральному контролю в области образования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образования. Результ</w:t>
      </w:r>
      <w:r w:rsidR="00755825">
        <w:rPr>
          <w:rFonts w:ascii="Times New Roman" w:hAnsi="Times New Roman"/>
          <w:sz w:val="28"/>
          <w:szCs w:val="28"/>
        </w:rPr>
        <w:t>аты проверок – положительные.</w:t>
      </w:r>
    </w:p>
    <w:p w:rsidR="00046B43" w:rsidRDefault="00E16947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>В течение 2018 года в образовательных учреждениях района проходили оценочные и мониторинговые процедуры федерального, регионального и муниципального уровней: государственная итоговая аттестация (ГИА), Всероссийские проверочные работы, краевые диагностические и контрольные работы, муниципальные диагностические работы.</w:t>
      </w:r>
    </w:p>
    <w:p w:rsidR="00E16947" w:rsidRPr="00755825" w:rsidRDefault="00E16947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 xml:space="preserve">Из 137 </w:t>
      </w:r>
      <w:proofErr w:type="spellStart"/>
      <w:r w:rsidRPr="00755825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755825">
        <w:rPr>
          <w:rFonts w:ascii="Times New Roman" w:hAnsi="Times New Roman" w:cs="Times New Roman"/>
          <w:sz w:val="28"/>
          <w:szCs w:val="28"/>
        </w:rPr>
        <w:t xml:space="preserve"> сдали ЕГЭ 134 (97,8%), что на 0,5% меньше, чем в прошлом году. 3 выпускника получили справки. Семнадцать выпускников получили аттестат с отличием и золотую медаль «За особые успехи в учении». </w:t>
      </w:r>
    </w:p>
    <w:p w:rsidR="00755825" w:rsidRPr="00755825" w:rsidRDefault="00755825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>Из 238 девятиклассников успешно прошли ГИА 220 учеников (92,4%), что на 7,6% ниже результатов прошлого года. 18 учеников, не прошедших государственную итоговую аттестацию, проходят повторное обучение в 9 классе.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25" w:rsidRPr="00755825" w:rsidRDefault="00755825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046B43">
        <w:rPr>
          <w:rFonts w:ascii="Times New Roman" w:hAnsi="Times New Roman" w:cs="Times New Roman"/>
          <w:sz w:val="28"/>
          <w:szCs w:val="28"/>
        </w:rPr>
        <w:t>3 пункта</w:t>
      </w:r>
      <w:r w:rsidRPr="00755825">
        <w:rPr>
          <w:rFonts w:ascii="Times New Roman" w:hAnsi="Times New Roman" w:cs="Times New Roman"/>
          <w:sz w:val="28"/>
          <w:szCs w:val="28"/>
        </w:rPr>
        <w:t xml:space="preserve"> проведения экзаменов были оснащены всем необходимым техническим оборудованием, включая видеонаблюдение.</w:t>
      </w:r>
    </w:p>
    <w:p w:rsidR="00755825" w:rsidRPr="00755825" w:rsidRDefault="00755825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755825">
        <w:rPr>
          <w:rFonts w:ascii="Times New Roman" w:hAnsi="Times New Roman" w:cs="Times New Roman"/>
          <w:sz w:val="28"/>
          <w:szCs w:val="28"/>
        </w:rPr>
        <w:t xml:space="preserve">в апреле-мае 2018 года проводились Всероссийские проверочные работы (ВПР) во 2, 4, 5, 6, 11 классах. Целью проведения ВПР является мониторинг качества подготовки </w:t>
      </w:r>
      <w:proofErr w:type="gramStart"/>
      <w:r w:rsidRPr="007558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825">
        <w:rPr>
          <w:rFonts w:ascii="Times New Roman" w:hAnsi="Times New Roman" w:cs="Times New Roman"/>
          <w:sz w:val="28"/>
          <w:szCs w:val="28"/>
        </w:rPr>
        <w:t>.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755825">
        <w:rPr>
          <w:rFonts w:ascii="Times New Roman" w:hAnsi="Times New Roman" w:cs="Times New Roman"/>
          <w:sz w:val="28"/>
          <w:szCs w:val="28"/>
        </w:rPr>
        <w:t>Работы краевого уровня проводились на двух уровнях образования – начальном и основном. Это стартовая диагностика первоклассников, итоговые контрольные работы в 1-3 классах, краевые контрольные (диагностические) работы по читательской грамотности в 4-х и 6-х классах, математике в 7-х классах, естествознанию в 8-х классах. Задания контрольных работ составлены в соответствии с международными стандартами (PISA), в них делается упор на новые грамотности: читательская, математическая, естественнонаучная.</w:t>
      </w:r>
    </w:p>
    <w:p w:rsidR="00755825" w:rsidRPr="00755825" w:rsidRDefault="00755825" w:rsidP="00046B43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>На муниципальном уровне в рамках подготовки выпускников школы к ГИА были проведены муниципальные диагностические работы по математике в 9 и 11 классах и по русскому языку в 9 классах, которые позволили не только познакомить учащихся с процедурой проведения экзамена, но выявить проблемные зоны в изучении предметов «Математика» и «Русский язык».</w:t>
      </w:r>
    </w:p>
    <w:p w:rsidR="00755825" w:rsidRPr="00755825" w:rsidRDefault="00755825" w:rsidP="00755825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55825">
        <w:rPr>
          <w:rFonts w:ascii="Times New Roman" w:hAnsi="Times New Roman" w:cs="Times New Roman"/>
          <w:sz w:val="28"/>
          <w:szCs w:val="28"/>
        </w:rPr>
        <w:t>Результаты всех оценочных и мониторинговых процедур рассматривались на совещаниях образовательных организаций, управления образования Администрации Иланского района и принимались</w:t>
      </w:r>
      <w:r w:rsidR="00046B43">
        <w:rPr>
          <w:rFonts w:ascii="Times New Roman" w:hAnsi="Times New Roman" w:cs="Times New Roman"/>
          <w:sz w:val="28"/>
          <w:szCs w:val="28"/>
        </w:rPr>
        <w:t xml:space="preserve"> управленческие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755825">
        <w:rPr>
          <w:rFonts w:ascii="Times New Roman" w:hAnsi="Times New Roman" w:cs="Times New Roman"/>
          <w:sz w:val="28"/>
          <w:szCs w:val="28"/>
        </w:rPr>
        <w:t>решения, направленные на разрешение проблемных ситуаций, выход на более высокий уровень качества образован</w:t>
      </w:r>
    </w:p>
    <w:p w:rsidR="002872FF" w:rsidRDefault="00087F42" w:rsidP="00046B4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A10" w:rsidRPr="00755825">
        <w:rPr>
          <w:rFonts w:ascii="Times New Roman" w:hAnsi="Times New Roman" w:cs="Times New Roman"/>
          <w:sz w:val="28"/>
          <w:szCs w:val="28"/>
        </w:rPr>
        <w:t>Содержание методической работы осуществляется в соответствии с решением задач резолюции августовского педагогического совета работников образования «Управление квалификацией педагогических кадров для получения нов</w:t>
      </w:r>
      <w:r w:rsidR="00046B43">
        <w:rPr>
          <w:rFonts w:ascii="Times New Roman" w:hAnsi="Times New Roman" w:cs="Times New Roman"/>
          <w:sz w:val="28"/>
          <w:szCs w:val="28"/>
        </w:rPr>
        <w:t>ых образовательных результатов» и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="002872FF" w:rsidRPr="0075582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B10B5" w:rsidRPr="00755825">
        <w:rPr>
          <w:rFonts w:ascii="Times New Roman" w:hAnsi="Times New Roman" w:cs="Times New Roman"/>
          <w:sz w:val="28"/>
          <w:szCs w:val="28"/>
        </w:rPr>
        <w:t>повышения квалификации педагогов в соответствии с современными вызовами</w:t>
      </w:r>
      <w:r w:rsidR="001A6A10" w:rsidRPr="00755825">
        <w:rPr>
          <w:rFonts w:ascii="Times New Roman" w:hAnsi="Times New Roman" w:cs="Times New Roman"/>
          <w:sz w:val="28"/>
          <w:szCs w:val="28"/>
        </w:rPr>
        <w:t xml:space="preserve"> через различные формы.</w:t>
      </w:r>
    </w:p>
    <w:p w:rsidR="00046B43" w:rsidRDefault="00046B43" w:rsidP="0054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</w:t>
      </w:r>
      <w:r w:rsidR="00202374">
        <w:rPr>
          <w:rFonts w:ascii="Times New Roman" w:hAnsi="Times New Roman" w:cs="Times New Roman"/>
          <w:sz w:val="28"/>
          <w:szCs w:val="28"/>
        </w:rPr>
        <w:t>льных организациях работают 440 педагогических работника.</w:t>
      </w:r>
    </w:p>
    <w:p w:rsidR="00541FCA" w:rsidRPr="00BA38FF" w:rsidRDefault="00541FCA" w:rsidP="0054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8FF">
        <w:rPr>
          <w:rFonts w:ascii="Times New Roman" w:hAnsi="Times New Roman" w:cs="Times New Roman"/>
          <w:sz w:val="28"/>
          <w:szCs w:val="28"/>
        </w:rPr>
        <w:t>Для повышения их квалификации была организована следующая методическая работа:</w:t>
      </w:r>
    </w:p>
    <w:tbl>
      <w:tblPr>
        <w:tblStyle w:val="a4"/>
        <w:tblW w:w="9747" w:type="dxa"/>
        <w:tblLook w:val="04A0"/>
      </w:tblPr>
      <w:tblGrid>
        <w:gridCol w:w="2234"/>
        <w:gridCol w:w="2100"/>
        <w:gridCol w:w="2884"/>
        <w:gridCol w:w="2529"/>
      </w:tblGrid>
      <w:tr w:rsidR="00541FCA" w:rsidRPr="00BA38FF" w:rsidTr="00541FCA">
        <w:tc>
          <w:tcPr>
            <w:tcW w:w="2234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Статус</w:t>
            </w:r>
          </w:p>
        </w:tc>
        <w:tc>
          <w:tcPr>
            <w:tcW w:w="2100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Формат</w:t>
            </w:r>
          </w:p>
        </w:tc>
        <w:tc>
          <w:tcPr>
            <w:tcW w:w="2884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Количество неформальных педагогических объединений</w:t>
            </w:r>
          </w:p>
        </w:tc>
        <w:tc>
          <w:tcPr>
            <w:tcW w:w="2529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Образовательная организация</w:t>
            </w:r>
          </w:p>
        </w:tc>
      </w:tr>
      <w:tr w:rsidR="00541FCA" w:rsidRPr="00BA38FF" w:rsidTr="00541FCA">
        <w:tc>
          <w:tcPr>
            <w:tcW w:w="2234" w:type="dxa"/>
            <w:vMerge w:val="restart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Муниципальный</w:t>
            </w:r>
          </w:p>
        </w:tc>
        <w:tc>
          <w:tcPr>
            <w:tcW w:w="2100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proofErr w:type="spellStart"/>
            <w:r w:rsidRPr="00BA38FF">
              <w:rPr>
                <w:rFonts w:ascii="Times New Roman" w:hAnsi="Times New Roman" w:cs="Times New Roman"/>
                <w:sz w:val="24"/>
                <w:szCs w:val="28"/>
              </w:rPr>
              <w:t>редметны</w:t>
            </w:r>
            <w:proofErr w:type="spellEnd"/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</w:t>
            </w:r>
            <w:r w:rsidRPr="00BA38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A38FF">
              <w:rPr>
                <w:rFonts w:ascii="Times New Roman" w:hAnsi="Times New Roman" w:cs="Times New Roman"/>
                <w:sz w:val="24"/>
                <w:szCs w:val="28"/>
              </w:rPr>
              <w:t>сообществ</w:t>
            </w:r>
            <w:proofErr w:type="spellEnd"/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</w:t>
            </w:r>
          </w:p>
        </w:tc>
        <w:tc>
          <w:tcPr>
            <w:tcW w:w="2884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29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</w:t>
            </w:r>
          </w:p>
        </w:tc>
      </w:tr>
      <w:tr w:rsidR="00541FCA" w:rsidRPr="00BA38FF" w:rsidTr="00541FCA">
        <w:tc>
          <w:tcPr>
            <w:tcW w:w="2234" w:type="dxa"/>
            <w:vMerge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Творческие группы</w:t>
            </w:r>
          </w:p>
        </w:tc>
        <w:tc>
          <w:tcPr>
            <w:tcW w:w="2884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29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1FCA" w:rsidTr="00541FCA">
        <w:tc>
          <w:tcPr>
            <w:tcW w:w="2234" w:type="dxa"/>
            <w:vMerge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1FCA" w:rsidRPr="00BA38FF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Проблемные  группы</w:t>
            </w:r>
          </w:p>
        </w:tc>
        <w:tc>
          <w:tcPr>
            <w:tcW w:w="2884" w:type="dxa"/>
            <w:vAlign w:val="center"/>
          </w:tcPr>
          <w:p w:rsidR="00541FCA" w:rsidRPr="00586FDD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38F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29" w:type="dxa"/>
            <w:vAlign w:val="center"/>
          </w:tcPr>
          <w:p w:rsidR="00541FCA" w:rsidRPr="00064CBB" w:rsidRDefault="00541FCA" w:rsidP="00541F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D7DC5" w:rsidRDefault="00202374" w:rsidP="0054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4">
        <w:rPr>
          <w:rFonts w:ascii="Times New Roman" w:hAnsi="Times New Roman" w:cs="Times New Roman"/>
          <w:sz w:val="28"/>
          <w:szCs w:val="28"/>
        </w:rPr>
        <w:lastRenderedPageBreak/>
        <w:t>7 образовательных организаций являются районными стажерскими площадками по отработке инновационных практик в рамках формирования новой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jc w:val="center"/>
        <w:tblLook w:val="04A0"/>
      </w:tblPr>
      <w:tblGrid>
        <w:gridCol w:w="3489"/>
        <w:gridCol w:w="3041"/>
        <w:gridCol w:w="3041"/>
      </w:tblGrid>
      <w:tr w:rsidR="006D7DC5" w:rsidRPr="00A15F17" w:rsidTr="0061696F">
        <w:trPr>
          <w:jc w:val="center"/>
        </w:trPr>
        <w:tc>
          <w:tcPr>
            <w:tcW w:w="3489" w:type="dxa"/>
            <w:vAlign w:val="center"/>
          </w:tcPr>
          <w:p w:rsidR="006D7DC5" w:rsidRPr="00A15F17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3041" w:type="dxa"/>
            <w:vAlign w:val="center"/>
          </w:tcPr>
          <w:p w:rsidR="006D7DC5" w:rsidRPr="00A15F17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3041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деятельности</w:t>
            </w:r>
          </w:p>
        </w:tc>
      </w:tr>
      <w:tr w:rsidR="006D7DC5" w:rsidRPr="00A15F17" w:rsidTr="0061696F">
        <w:trPr>
          <w:jc w:val="center"/>
        </w:trPr>
        <w:tc>
          <w:tcPr>
            <w:tcW w:w="3489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Иланский д\с №20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41" w:type="dxa"/>
            <w:vAlign w:val="center"/>
          </w:tcPr>
          <w:p w:rsidR="006D7DC5" w:rsidRPr="0061696F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пилотн</w:t>
            </w:r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proofErr w:type="spellEnd"/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041" w:type="dxa"/>
            <w:vAlign w:val="center"/>
          </w:tcPr>
          <w:p w:rsidR="006D7DC5" w:rsidRPr="00A15F17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тработке образовательной программы «Тропинки»</w:t>
            </w:r>
          </w:p>
        </w:tc>
      </w:tr>
      <w:tr w:rsidR="006D7DC5" w:rsidRPr="00A15F17" w:rsidTr="0061696F">
        <w:trPr>
          <w:jc w:val="center"/>
        </w:trPr>
        <w:tc>
          <w:tcPr>
            <w:tcW w:w="3489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лександровская</w:t>
            </w:r>
            <w:proofErr w:type="spellEnd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5»</w:t>
            </w:r>
          </w:p>
        </w:tc>
        <w:tc>
          <w:tcPr>
            <w:tcW w:w="3041" w:type="dxa"/>
            <w:vAlign w:val="center"/>
          </w:tcPr>
          <w:p w:rsidR="006D7DC5" w:rsidRPr="00A15F17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стажерск</w:t>
            </w:r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площадкой</w:t>
            </w:r>
            <w:proofErr w:type="spellEnd"/>
          </w:p>
        </w:tc>
        <w:tc>
          <w:tcPr>
            <w:tcW w:w="3041" w:type="dxa"/>
            <w:vAlign w:val="center"/>
          </w:tcPr>
          <w:p w:rsidR="006D7DC5" w:rsidRPr="00A15F17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</w:p>
        </w:tc>
      </w:tr>
      <w:tr w:rsidR="006D7DC5" w:rsidRPr="00A15F17" w:rsidTr="0061696F">
        <w:trPr>
          <w:jc w:val="center"/>
        </w:trPr>
        <w:tc>
          <w:tcPr>
            <w:tcW w:w="3489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Иланская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41" w:type="dxa"/>
            <w:vAlign w:val="center"/>
          </w:tcPr>
          <w:p w:rsidR="006D7DC5" w:rsidRPr="0061696F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стажерская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proofErr w:type="spellEnd"/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041" w:type="dxa"/>
            <w:vAlign w:val="center"/>
          </w:tcPr>
          <w:p w:rsidR="006D7DC5" w:rsidRPr="0061696F" w:rsidRDefault="006D7DC5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Медиаци</w:t>
            </w:r>
            <w:proofErr w:type="spellEnd"/>
            <w:r w:rsidR="00616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6D7DC5" w:rsidRPr="00A15F17" w:rsidTr="0061696F">
        <w:trPr>
          <w:jc w:val="center"/>
        </w:trPr>
        <w:tc>
          <w:tcPr>
            <w:tcW w:w="3489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Далайская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№11»</w:t>
            </w:r>
          </w:p>
        </w:tc>
        <w:tc>
          <w:tcPr>
            <w:tcW w:w="3041" w:type="dxa"/>
            <w:vAlign w:val="center"/>
          </w:tcPr>
          <w:p w:rsidR="006D7DC5" w:rsidRPr="00A15F17" w:rsidRDefault="005F5F3B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стажерская </w:t>
            </w:r>
            <w:proofErr w:type="spellStart"/>
            <w:r w:rsidRPr="00A15F17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041" w:type="dxa"/>
            <w:vAlign w:val="center"/>
          </w:tcPr>
          <w:p w:rsidR="006D7DC5" w:rsidRPr="0061696F" w:rsidRDefault="0061696F" w:rsidP="00616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DC5" w:rsidRPr="00A15F17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</w:tbl>
    <w:p w:rsidR="009E4DA4" w:rsidRDefault="00202374" w:rsidP="00541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6 ОО находятся на краевом сопровождении сотрудниками ИПК по актуальным вопросам и для района и для края.</w:t>
      </w:r>
    </w:p>
    <w:p w:rsidR="00635F41" w:rsidRPr="00D91200" w:rsidRDefault="00635F41" w:rsidP="00C068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>В образовании появились новые практики по формированию критического мышления на базе МБОУ «Далайская СОШ №11», развития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635F41">
        <w:rPr>
          <w:rFonts w:ascii="Times New Roman" w:hAnsi="Times New Roman" w:cs="Times New Roman"/>
          <w:sz w:val="28"/>
          <w:szCs w:val="28"/>
        </w:rPr>
        <w:t>цифровых умений у педагогов и обучающихся. В МБОУ «Иланская СОШ №2», МБОУ «Новопокровская СОШ» были приобретены две цифровые лаборатории по физике. Четыре школы района (МБОУ «Иланская СОШ №1», МБОУ «Иланская СОШ №41», МБОУ «Иланская СОШ№2», МБОУ «Новопокровская СОШ №7») входят в 10-ку лучших школ края, которые используют в своей деятельности образователь</w:t>
      </w:r>
      <w:r>
        <w:rPr>
          <w:rFonts w:ascii="Times New Roman" w:hAnsi="Times New Roman" w:cs="Times New Roman"/>
          <w:sz w:val="28"/>
          <w:szCs w:val="28"/>
        </w:rPr>
        <w:t>ную платформу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9120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91200" w:rsidRPr="00D91200">
        <w:rPr>
          <w:rFonts w:ascii="Times New Roman" w:hAnsi="Times New Roman" w:cs="Times New Roman"/>
          <w:sz w:val="28"/>
          <w:szCs w:val="28"/>
        </w:rPr>
        <w:t xml:space="preserve">Иланская СОШ № 1 – попала в ТОП 5 </w:t>
      </w:r>
      <w:proofErr w:type="gramStart"/>
      <w:r w:rsidR="00D91200" w:rsidRPr="00D9120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D91200" w:rsidRPr="00D91200">
        <w:rPr>
          <w:rFonts w:ascii="Times New Roman" w:hAnsi="Times New Roman" w:cs="Times New Roman"/>
          <w:sz w:val="28"/>
          <w:szCs w:val="28"/>
        </w:rPr>
        <w:t xml:space="preserve"> онлайн-платформы.</w:t>
      </w:r>
    </w:p>
    <w:p w:rsidR="009E4DA4" w:rsidRPr="00046B43" w:rsidRDefault="009E4DA4" w:rsidP="00C068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00">
        <w:rPr>
          <w:rFonts w:ascii="Times New Roman" w:hAnsi="Times New Roman" w:cs="Times New Roman"/>
          <w:sz w:val="28"/>
          <w:szCs w:val="28"/>
        </w:rPr>
        <w:t>В соответствии с современными вызовами в образовательных организациях идет становление цифровой образовательной среды.</w:t>
      </w:r>
      <w:r w:rsidR="00D91200" w:rsidRPr="00D91200">
        <w:rPr>
          <w:rFonts w:ascii="Times New Roman" w:hAnsi="Times New Roman" w:cs="Times New Roman"/>
          <w:sz w:val="28"/>
          <w:szCs w:val="28"/>
        </w:rPr>
        <w:t xml:space="preserve"> </w:t>
      </w:r>
      <w:r w:rsidRPr="00D91200">
        <w:rPr>
          <w:rFonts w:ascii="Times New Roman" w:hAnsi="Times New Roman" w:cs="Times New Roman"/>
          <w:sz w:val="28"/>
          <w:szCs w:val="28"/>
        </w:rPr>
        <w:t xml:space="preserve">Все школы внедрили в свою деятельность электронный журнал, две школы создали виртуальные учительские. Активно внедряются в образовательный процесс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ГлобалЛаб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Яндекс-Учебник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Lecta</w:t>
      </w:r>
      <w:proofErr w:type="spellEnd"/>
      <w:r w:rsidR="00D91200" w:rsidRPr="00D91200">
        <w:rPr>
          <w:rFonts w:ascii="Times New Roman" w:hAnsi="Times New Roman" w:cs="Times New Roman"/>
          <w:sz w:val="28"/>
          <w:szCs w:val="28"/>
        </w:rPr>
        <w:t>, Учи.</w:t>
      </w:r>
      <w:proofErr w:type="spellStart"/>
      <w:r w:rsidR="00D91200" w:rsidRPr="00D912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 xml:space="preserve"> и другие.. Ведутся работы по организации и проведению </w:t>
      </w:r>
      <w:proofErr w:type="gramStart"/>
      <w:r w:rsidRPr="00D9120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C06890" w:rsidRPr="00D91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0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91200">
        <w:rPr>
          <w:rFonts w:ascii="Times New Roman" w:hAnsi="Times New Roman" w:cs="Times New Roman"/>
          <w:sz w:val="28"/>
          <w:szCs w:val="28"/>
        </w:rPr>
        <w:t>.</w:t>
      </w:r>
    </w:p>
    <w:p w:rsidR="0061696F" w:rsidRPr="00087F42" w:rsidRDefault="0061696F" w:rsidP="0061696F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87F42">
        <w:rPr>
          <w:rFonts w:ascii="Times New Roman" w:hAnsi="Times New Roman" w:cs="Times New Roman"/>
          <w:sz w:val="28"/>
          <w:szCs w:val="28"/>
        </w:rPr>
        <w:t xml:space="preserve">С целью сопровождения и поддержки молодых педагогов в районе создана и активно работает «Школа молодого педагога». Состав Школы - 46 молодых специалистов. В 2018 году в образованные организации пришли 11 молодых специалистов и 6 педагогов пришли в образовательные организации в возрасте до 35 лет. Значимой и ключевой деятельностью Школы стала реализация межмуниципального проекта «Пять проектов будущего», который получил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 xml:space="preserve"> поддержку на краевой августовской педагогической конференции в 2017г. В реализации проекта приняли участие молодые педагоги образовательных организаций районов Восточной зоны Красноярского края –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 xml:space="preserve">, Дзержинский,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t>Нижне-Ингашский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>, Иланский. 30% молодых педагогов Иланского района – организаторы данного проекта.</w:t>
      </w:r>
    </w:p>
    <w:p w:rsidR="002872FF" w:rsidRPr="00202374" w:rsidRDefault="0061696F" w:rsidP="0061696F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87F42">
        <w:rPr>
          <w:rFonts w:ascii="Times New Roman" w:hAnsi="Times New Roman" w:cs="Times New Roman"/>
          <w:sz w:val="28"/>
          <w:szCs w:val="28"/>
        </w:rPr>
        <w:t xml:space="preserve">Одним из значимых результатов работы Школы стала дальнейшая реализация проекта «Мой выбор». В течение года молодые педагоги вели </w:t>
      </w:r>
      <w:proofErr w:type="spellStart"/>
      <w:r w:rsidRPr="00087F42">
        <w:rPr>
          <w:rFonts w:ascii="Times New Roman" w:hAnsi="Times New Roman" w:cs="Times New Roman"/>
          <w:sz w:val="28"/>
          <w:szCs w:val="28"/>
        </w:rPr>
        <w:lastRenderedPageBreak/>
        <w:t>профориентационную</w:t>
      </w:r>
      <w:proofErr w:type="spellEnd"/>
      <w:r w:rsidRPr="00087F42">
        <w:rPr>
          <w:rFonts w:ascii="Times New Roman" w:hAnsi="Times New Roman" w:cs="Times New Roman"/>
          <w:sz w:val="28"/>
          <w:szCs w:val="28"/>
        </w:rPr>
        <w:t xml:space="preserve"> работу со старшеклассниками, планирующими поступление в педагогические учебные заведения в рамках деятельности педагогического класса</w:t>
      </w:r>
      <w:proofErr w:type="gramStart"/>
      <w:r w:rsidRPr="00087F42">
        <w:rPr>
          <w:rFonts w:ascii="Times New Roman" w:hAnsi="Times New Roman" w:cs="Times New Roman"/>
          <w:sz w:val="28"/>
          <w:szCs w:val="28"/>
        </w:rPr>
        <w:t>.</w:t>
      </w:r>
      <w:r w:rsidR="002872FF" w:rsidRPr="00087F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72FF" w:rsidRPr="002872FF" w:rsidRDefault="002872FF" w:rsidP="006169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Активно молодые педагоги Иланского района принимают участие в Молодежных профессиональных педагогических играх</w:t>
      </w:r>
      <w:r w:rsidR="001A6A10">
        <w:rPr>
          <w:rFonts w:ascii="Times New Roman" w:hAnsi="Times New Roman" w:cs="Times New Roman"/>
          <w:sz w:val="28"/>
          <w:szCs w:val="28"/>
        </w:rPr>
        <w:t xml:space="preserve"> в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2872FF">
        <w:rPr>
          <w:rFonts w:ascii="Times New Roman" w:hAnsi="Times New Roman" w:cs="Times New Roman"/>
          <w:sz w:val="28"/>
          <w:szCs w:val="28"/>
        </w:rPr>
        <w:t>г. Красноярск</w:t>
      </w:r>
      <w:r w:rsidR="001A6A10">
        <w:rPr>
          <w:rFonts w:ascii="Times New Roman" w:hAnsi="Times New Roman" w:cs="Times New Roman"/>
          <w:sz w:val="28"/>
          <w:szCs w:val="28"/>
        </w:rPr>
        <w:t>е</w:t>
      </w:r>
      <w:r w:rsidRPr="002872FF">
        <w:rPr>
          <w:rFonts w:ascii="Times New Roman" w:hAnsi="Times New Roman" w:cs="Times New Roman"/>
          <w:sz w:val="28"/>
          <w:szCs w:val="28"/>
        </w:rPr>
        <w:t>. В VII Молодежных профессиональных педагогических играх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2872FF">
        <w:rPr>
          <w:rFonts w:ascii="Times New Roman" w:hAnsi="Times New Roman" w:cs="Times New Roman"/>
          <w:sz w:val="28"/>
          <w:szCs w:val="28"/>
        </w:rPr>
        <w:t xml:space="preserve">педагог МБОУ «Иланская СОШ №1» Королева Юлия Евгеньевна заняла 3 место в лиге «Критическое мышление». По итогам реализации проекта «Пять проектов будущего», Молодежных профессиональных педагогических игр 5 педагогов Иланского района стали краевыми тренерами, А.А. </w:t>
      </w:r>
      <w:proofErr w:type="spellStart"/>
      <w:r w:rsidRPr="002872FF">
        <w:rPr>
          <w:rFonts w:ascii="Times New Roman" w:hAnsi="Times New Roman" w:cs="Times New Roman"/>
          <w:sz w:val="28"/>
          <w:szCs w:val="28"/>
        </w:rPr>
        <w:t>Клеуш</w:t>
      </w:r>
      <w:proofErr w:type="spellEnd"/>
      <w:r w:rsidR="001A6A10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="001A6A10">
        <w:rPr>
          <w:rFonts w:ascii="Times New Roman" w:hAnsi="Times New Roman" w:cs="Times New Roman"/>
          <w:sz w:val="28"/>
          <w:szCs w:val="28"/>
        </w:rPr>
        <w:t>Кучердаевской</w:t>
      </w:r>
      <w:proofErr w:type="spellEnd"/>
      <w:r w:rsidR="001A6A10">
        <w:rPr>
          <w:rFonts w:ascii="Times New Roman" w:hAnsi="Times New Roman" w:cs="Times New Roman"/>
          <w:sz w:val="28"/>
          <w:szCs w:val="28"/>
        </w:rPr>
        <w:t xml:space="preserve"> школы выбран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A10">
        <w:rPr>
          <w:rFonts w:ascii="Times New Roman" w:hAnsi="Times New Roman" w:cs="Times New Roman"/>
          <w:sz w:val="28"/>
          <w:szCs w:val="28"/>
        </w:rPr>
        <w:t>руководителем</w:t>
      </w:r>
      <w:r w:rsidRPr="002872FF">
        <w:rPr>
          <w:rFonts w:ascii="Times New Roman" w:hAnsi="Times New Roman" w:cs="Times New Roman"/>
          <w:sz w:val="28"/>
          <w:szCs w:val="28"/>
        </w:rPr>
        <w:t>ассоциации</w:t>
      </w:r>
      <w:proofErr w:type="spellEnd"/>
      <w:r w:rsidRPr="002872FF">
        <w:rPr>
          <w:rFonts w:ascii="Times New Roman" w:hAnsi="Times New Roman" w:cs="Times New Roman"/>
          <w:sz w:val="28"/>
          <w:szCs w:val="28"/>
        </w:rPr>
        <w:t xml:space="preserve"> молодых педагогов Восточной группы районов Красноярского края.</w:t>
      </w:r>
    </w:p>
    <w:p w:rsidR="002872FF" w:rsidRDefault="002872FF" w:rsidP="006169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20 руководителей образовательных организаций прошли обучение на курсе «Менеджмент в образовании» на базе КГПУ им. В.П. Астафьева. Данный курс направлен на формирование управленческих компетенций у руководителей ОО.</w:t>
      </w:r>
    </w:p>
    <w:p w:rsidR="00826EEB" w:rsidRDefault="00A75F32" w:rsidP="008E44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воспитателей</w:t>
      </w:r>
      <w:r w:rsidR="0074092F">
        <w:rPr>
          <w:rFonts w:ascii="Times New Roman" w:hAnsi="Times New Roman" w:cs="Times New Roman"/>
          <w:sz w:val="28"/>
          <w:szCs w:val="28"/>
        </w:rPr>
        <w:t xml:space="preserve"> детских садов района принимали </w:t>
      </w:r>
      <w:r w:rsidR="0074092F" w:rsidRPr="007409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4092F">
        <w:rPr>
          <w:rFonts w:ascii="Times New Roman" w:hAnsi="Times New Roman" w:cs="Times New Roman"/>
          <w:sz w:val="28"/>
          <w:szCs w:val="28"/>
        </w:rPr>
        <w:t>во Всероссийском к</w:t>
      </w:r>
      <w:r w:rsidR="001D5F5F" w:rsidRPr="0074092F">
        <w:rPr>
          <w:rFonts w:ascii="Times New Roman" w:hAnsi="Times New Roman" w:cs="Times New Roman"/>
          <w:sz w:val="28"/>
          <w:szCs w:val="28"/>
        </w:rPr>
        <w:t>онкурсе имени Л.С. Выготского для педагогов дошкольного образования</w:t>
      </w:r>
      <w:r w:rsidR="00E6079A" w:rsidRPr="0074092F">
        <w:rPr>
          <w:rFonts w:ascii="Times New Roman" w:hAnsi="Times New Roman" w:cs="Times New Roman"/>
          <w:sz w:val="28"/>
          <w:szCs w:val="28"/>
        </w:rPr>
        <w:t xml:space="preserve">. </w:t>
      </w:r>
      <w:r w:rsidR="0074092F">
        <w:rPr>
          <w:rFonts w:ascii="Times New Roman" w:hAnsi="Times New Roman" w:cs="Times New Roman"/>
          <w:sz w:val="28"/>
          <w:szCs w:val="28"/>
        </w:rPr>
        <w:t>П</w:t>
      </w:r>
      <w:r w:rsidR="00E6079A" w:rsidRPr="0074092F">
        <w:rPr>
          <w:rFonts w:ascii="Times New Roman" w:hAnsi="Times New Roman" w:cs="Times New Roman"/>
          <w:sz w:val="28"/>
          <w:szCs w:val="28"/>
        </w:rPr>
        <w:t xml:space="preserve">обедила </w:t>
      </w:r>
      <w:r w:rsidR="002872FF" w:rsidRPr="0074092F">
        <w:rPr>
          <w:rFonts w:ascii="Times New Roman" w:hAnsi="Times New Roman" w:cs="Times New Roman"/>
          <w:sz w:val="28"/>
          <w:szCs w:val="28"/>
        </w:rPr>
        <w:t>заведующая МБДОУ «Кучердаевский детский сад» Нина Владимировна Иванова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="00E6079A" w:rsidRPr="0074092F">
        <w:rPr>
          <w:rFonts w:ascii="Times New Roman" w:hAnsi="Times New Roman" w:cs="Times New Roman"/>
          <w:sz w:val="28"/>
          <w:szCs w:val="28"/>
        </w:rPr>
        <w:t xml:space="preserve">и </w:t>
      </w:r>
      <w:r w:rsidR="001D5F5F" w:rsidRPr="0074092F">
        <w:rPr>
          <w:rFonts w:ascii="Times New Roman" w:hAnsi="Times New Roman" w:cs="Times New Roman"/>
          <w:sz w:val="28"/>
          <w:szCs w:val="28"/>
        </w:rPr>
        <w:t xml:space="preserve">в </w:t>
      </w:r>
      <w:r w:rsidR="002872FF" w:rsidRPr="0074092F">
        <w:rPr>
          <w:rFonts w:ascii="Times New Roman" w:hAnsi="Times New Roman" w:cs="Times New Roman"/>
          <w:sz w:val="28"/>
          <w:szCs w:val="28"/>
        </w:rPr>
        <w:t>июле приняла участие в</w:t>
      </w:r>
      <w:r w:rsidR="001D5F5F" w:rsidRPr="0074092F">
        <w:rPr>
          <w:rFonts w:ascii="Times New Roman" w:hAnsi="Times New Roman" w:cs="Times New Roman"/>
          <w:sz w:val="28"/>
          <w:szCs w:val="28"/>
        </w:rPr>
        <w:t>о Всероссийской</w:t>
      </w:r>
      <w:r w:rsidR="00826EEB">
        <w:rPr>
          <w:rFonts w:ascii="Times New Roman" w:hAnsi="Times New Roman" w:cs="Times New Roman"/>
          <w:sz w:val="28"/>
          <w:szCs w:val="28"/>
        </w:rPr>
        <w:t xml:space="preserve"> Летней Школе </w:t>
      </w:r>
      <w:r w:rsidR="001D5F5F" w:rsidRPr="0074092F">
        <w:rPr>
          <w:rFonts w:ascii="Times New Roman" w:hAnsi="Times New Roman" w:cs="Times New Roman"/>
          <w:sz w:val="28"/>
          <w:szCs w:val="28"/>
        </w:rPr>
        <w:t xml:space="preserve">в </w:t>
      </w:r>
      <w:r w:rsidR="002872FF" w:rsidRPr="0074092F">
        <w:rPr>
          <w:rFonts w:ascii="Times New Roman" w:hAnsi="Times New Roman" w:cs="Times New Roman"/>
          <w:sz w:val="28"/>
          <w:szCs w:val="28"/>
        </w:rPr>
        <w:t>г. Москва</w:t>
      </w:r>
      <w:r w:rsidR="00826EEB">
        <w:rPr>
          <w:rFonts w:ascii="Times New Roman" w:hAnsi="Times New Roman" w:cs="Times New Roman"/>
          <w:sz w:val="28"/>
          <w:szCs w:val="28"/>
        </w:rPr>
        <w:t>.</w:t>
      </w:r>
    </w:p>
    <w:p w:rsidR="00635F41" w:rsidRPr="00635F41" w:rsidRDefault="00635F41" w:rsidP="008E44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635F41">
        <w:rPr>
          <w:rFonts w:ascii="Times New Roman" w:hAnsi="Times New Roman" w:cs="Times New Roman"/>
          <w:sz w:val="28"/>
          <w:szCs w:val="28"/>
        </w:rPr>
        <w:t xml:space="preserve">года прошли следующие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635F41">
        <w:rPr>
          <w:rFonts w:ascii="Times New Roman" w:hAnsi="Times New Roman" w:cs="Times New Roman"/>
          <w:sz w:val="28"/>
          <w:szCs w:val="28"/>
        </w:rPr>
        <w:t>конкурсы:</w:t>
      </w:r>
    </w:p>
    <w:p w:rsidR="00635F41" w:rsidRPr="00635F41" w:rsidRDefault="00635F41" w:rsidP="008E44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>Муниципальный конкурс профессионального мастерства «Учитель года 2</w:t>
      </w:r>
      <w:r>
        <w:rPr>
          <w:rFonts w:ascii="Times New Roman" w:hAnsi="Times New Roman" w:cs="Times New Roman"/>
          <w:sz w:val="28"/>
          <w:szCs w:val="28"/>
        </w:rPr>
        <w:t>018», в котором приняли участие 7 педагогов.</w:t>
      </w:r>
      <w:r w:rsidR="008E44CD">
        <w:rPr>
          <w:rFonts w:ascii="Times New Roman" w:hAnsi="Times New Roman" w:cs="Times New Roman"/>
          <w:sz w:val="28"/>
          <w:szCs w:val="28"/>
        </w:rPr>
        <w:t xml:space="preserve"> </w:t>
      </w:r>
      <w:r w:rsidRPr="00635F41">
        <w:rPr>
          <w:rFonts w:ascii="Times New Roman" w:hAnsi="Times New Roman" w:cs="Times New Roman"/>
          <w:sz w:val="28"/>
          <w:szCs w:val="28"/>
        </w:rPr>
        <w:t>По итогам конкурса участники награждены благодарственными письмами управления образования.</w:t>
      </w:r>
    </w:p>
    <w:p w:rsidR="00635F41" w:rsidRPr="00635F41" w:rsidRDefault="00635F41" w:rsidP="008E44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>«Мастер своего дела» среди учителей технологии. В конкурсе приняли участие 17 учителей технологии из 11-ти образовательных организаций. Победителями конкурса стали 7 педагогов в 4-х номинациях.</w:t>
      </w:r>
    </w:p>
    <w:p w:rsidR="00635F41" w:rsidRPr="00635F41" w:rsidRDefault="00635F41" w:rsidP="008E44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35F4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35F41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районе впервые прошла Эстафета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635F41">
        <w:rPr>
          <w:rFonts w:ascii="Times New Roman" w:hAnsi="Times New Roman" w:cs="Times New Roman"/>
          <w:sz w:val="28"/>
          <w:szCs w:val="28"/>
        </w:rPr>
        <w:t>«Непрерывное информационное образование». В эст</w:t>
      </w:r>
      <w:r>
        <w:rPr>
          <w:rFonts w:ascii="Times New Roman" w:hAnsi="Times New Roman" w:cs="Times New Roman"/>
          <w:sz w:val="28"/>
          <w:szCs w:val="28"/>
        </w:rPr>
        <w:t xml:space="preserve">афете приняли участие команды: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Южно-Александровской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Новониколаевской, Новопокровской,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Pr="00635F41">
        <w:rPr>
          <w:rFonts w:ascii="Times New Roman" w:hAnsi="Times New Roman" w:cs="Times New Roman"/>
          <w:sz w:val="28"/>
          <w:szCs w:val="28"/>
        </w:rPr>
        <w:t>. Победителем конкурса стала команда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Pr="00635F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5F41">
        <w:rPr>
          <w:rFonts w:ascii="Times New Roman" w:hAnsi="Times New Roman" w:cs="Times New Roman"/>
          <w:sz w:val="28"/>
          <w:szCs w:val="28"/>
        </w:rPr>
        <w:t>КовЧегЭЛьБрус</w:t>
      </w:r>
      <w:proofErr w:type="spellEnd"/>
      <w:r w:rsidRPr="00635F41">
        <w:rPr>
          <w:rFonts w:ascii="Times New Roman" w:hAnsi="Times New Roman" w:cs="Times New Roman"/>
          <w:sz w:val="28"/>
          <w:szCs w:val="28"/>
        </w:rPr>
        <w:t>», что стало предпосылкой создания на базе МБОУ «Южно-Александровская СОШ №5» районной лаборатории новых образовательных практик «Цифровой стандарт педагога.</w:t>
      </w:r>
    </w:p>
    <w:p w:rsidR="00635F41" w:rsidRPr="00635F41" w:rsidRDefault="00635F41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F41">
        <w:rPr>
          <w:rFonts w:ascii="Times New Roman" w:hAnsi="Times New Roman" w:cs="Times New Roman"/>
          <w:sz w:val="28"/>
          <w:szCs w:val="28"/>
        </w:rPr>
        <w:t xml:space="preserve">В конкурсе «Сад будущего» среди дошкольных образовательных организаций приняли участие все детские сады район. </w:t>
      </w:r>
    </w:p>
    <w:p w:rsidR="00635F41" w:rsidRDefault="00F9585E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учителей</w:t>
      </w:r>
      <w:r w:rsidR="00635F41" w:rsidRPr="00635F4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5 школ </w:t>
      </w:r>
      <w:r w:rsidR="00635F41" w:rsidRPr="00635F41">
        <w:rPr>
          <w:rFonts w:ascii="Times New Roman" w:hAnsi="Times New Roman" w:cs="Times New Roman"/>
          <w:sz w:val="28"/>
          <w:szCs w:val="28"/>
        </w:rPr>
        <w:t>приняли участие в региональном конкурсе «Педагогическая ситуация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35F41" w:rsidRPr="00635F4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аправленная на формирование универсальных учебных навыков.</w:t>
      </w:r>
    </w:p>
    <w:p w:rsidR="002872FF" w:rsidRPr="002872FF" w:rsidRDefault="00BE3EF3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EEB">
        <w:rPr>
          <w:rFonts w:ascii="Times New Roman" w:hAnsi="Times New Roman" w:cs="Times New Roman"/>
          <w:sz w:val="28"/>
          <w:szCs w:val="28"/>
        </w:rPr>
        <w:t>В 2018 году</w:t>
      </w:r>
      <w:r w:rsidR="002872FF" w:rsidRPr="002872FF">
        <w:rPr>
          <w:rFonts w:ascii="Times New Roman" w:hAnsi="Times New Roman" w:cs="Times New Roman"/>
          <w:sz w:val="28"/>
          <w:szCs w:val="28"/>
        </w:rPr>
        <w:t xml:space="preserve"> 10 педагогов</w:t>
      </w:r>
      <w:r w:rsidR="00826EEB">
        <w:rPr>
          <w:rFonts w:ascii="Times New Roman" w:hAnsi="Times New Roman" w:cs="Times New Roman"/>
          <w:sz w:val="28"/>
          <w:szCs w:val="28"/>
        </w:rPr>
        <w:t xml:space="preserve"> Иланского района были награждены</w:t>
      </w:r>
      <w:r w:rsidR="002872FF" w:rsidRPr="002872F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министерства</w:t>
      </w:r>
      <w:r w:rsidR="00F9585E">
        <w:rPr>
          <w:rFonts w:ascii="Times New Roman" w:hAnsi="Times New Roman" w:cs="Times New Roman"/>
          <w:sz w:val="28"/>
          <w:szCs w:val="28"/>
        </w:rPr>
        <w:t xml:space="preserve"> образования Красноярского края, на 3 педагогов направлены документы для награждения в МОРФ.</w:t>
      </w:r>
    </w:p>
    <w:p w:rsidR="00973188" w:rsidRPr="00973188" w:rsidRDefault="002872FF" w:rsidP="0097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lastRenderedPageBreak/>
        <w:t>Директору МБОУ «Южно-Александровская СОШ №5» Василию Васильевичу Брусенко вручен знак отличия «Заслуженный педагог Красноярск</w:t>
      </w:r>
      <w:r w:rsidR="00797956">
        <w:rPr>
          <w:rFonts w:ascii="Times New Roman" w:hAnsi="Times New Roman" w:cs="Times New Roman"/>
          <w:sz w:val="28"/>
          <w:szCs w:val="28"/>
        </w:rPr>
        <w:t>ого края».</w:t>
      </w:r>
    </w:p>
    <w:p w:rsidR="00973188" w:rsidRPr="00973188" w:rsidRDefault="00BE3EF3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188" w:rsidRPr="00973188">
        <w:rPr>
          <w:rFonts w:ascii="Times New Roman" w:hAnsi="Times New Roman" w:cs="Times New Roman"/>
          <w:sz w:val="28"/>
          <w:szCs w:val="28"/>
        </w:rPr>
        <w:t>В 2018 г. все школы Иланского района обеспечены бесплатными учебниками по обязательным предметам. На эти цели из краевого бюджета на Иланский район</w:t>
      </w:r>
      <w:r w:rsidR="00E96E47">
        <w:rPr>
          <w:rFonts w:ascii="Times New Roman" w:hAnsi="Times New Roman" w:cs="Times New Roman"/>
          <w:sz w:val="28"/>
          <w:szCs w:val="28"/>
        </w:rPr>
        <w:t xml:space="preserve"> выделена субвенция в размере 4</w:t>
      </w:r>
      <w:r w:rsidR="00A72513">
        <w:rPr>
          <w:rFonts w:ascii="Times New Roman" w:hAnsi="Times New Roman" w:cs="Times New Roman"/>
          <w:sz w:val="28"/>
          <w:szCs w:val="28"/>
        </w:rPr>
        <w:t xml:space="preserve"> </w:t>
      </w:r>
      <w:r w:rsidR="00973188" w:rsidRPr="00973188">
        <w:rPr>
          <w:rFonts w:ascii="Times New Roman" w:hAnsi="Times New Roman" w:cs="Times New Roman"/>
          <w:sz w:val="28"/>
          <w:szCs w:val="28"/>
        </w:rPr>
        <w:t>549</w:t>
      </w:r>
      <w:r w:rsidR="00A72513">
        <w:rPr>
          <w:rFonts w:ascii="Times New Roman" w:hAnsi="Times New Roman" w:cs="Times New Roman"/>
          <w:sz w:val="28"/>
          <w:szCs w:val="28"/>
        </w:rPr>
        <w:t xml:space="preserve"> </w:t>
      </w:r>
      <w:r w:rsidR="00973188" w:rsidRPr="00973188">
        <w:rPr>
          <w:rFonts w:ascii="Times New Roman" w:hAnsi="Times New Roman" w:cs="Times New Roman"/>
          <w:sz w:val="28"/>
          <w:szCs w:val="28"/>
        </w:rPr>
        <w:t xml:space="preserve">682 рубля. </w:t>
      </w:r>
    </w:p>
    <w:p w:rsidR="002872FF" w:rsidRDefault="003F7494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56">
        <w:rPr>
          <w:rFonts w:ascii="Times New Roman" w:hAnsi="Times New Roman" w:cs="Times New Roman"/>
          <w:sz w:val="28"/>
          <w:szCs w:val="28"/>
        </w:rPr>
        <w:t>С нового учебного года у</w:t>
      </w:r>
      <w:r w:rsidR="00973188" w:rsidRPr="00973188">
        <w:rPr>
          <w:rFonts w:ascii="Times New Roman" w:hAnsi="Times New Roman" w:cs="Times New Roman"/>
          <w:sz w:val="28"/>
          <w:szCs w:val="28"/>
        </w:rPr>
        <w:t>правление образования Иланского района приступило к внесению сведений о фактах назначе</w:t>
      </w:r>
      <w:r w:rsidR="00797956">
        <w:rPr>
          <w:rFonts w:ascii="Times New Roman" w:hAnsi="Times New Roman" w:cs="Times New Roman"/>
          <w:sz w:val="28"/>
          <w:szCs w:val="28"/>
        </w:rPr>
        <w:t>ния мер социальной защиты учащим</w:t>
      </w:r>
      <w:r w:rsidR="00973188" w:rsidRPr="00973188">
        <w:rPr>
          <w:rFonts w:ascii="Times New Roman" w:hAnsi="Times New Roman" w:cs="Times New Roman"/>
          <w:sz w:val="28"/>
          <w:szCs w:val="28"/>
        </w:rPr>
        <w:t>ся в единую государственную информационную систему социального обеспечения (ЕГИССО). То есть заполняются сведения об учащих</w:t>
      </w:r>
      <w:r w:rsidR="00797956">
        <w:rPr>
          <w:rFonts w:ascii="Times New Roman" w:hAnsi="Times New Roman" w:cs="Times New Roman"/>
          <w:sz w:val="28"/>
          <w:szCs w:val="28"/>
        </w:rPr>
        <w:t xml:space="preserve">ся, получающих льготное питание: </w:t>
      </w:r>
      <w:r w:rsidR="00973188" w:rsidRPr="00973188">
        <w:rPr>
          <w:rFonts w:ascii="Times New Roman" w:hAnsi="Times New Roman" w:cs="Times New Roman"/>
          <w:sz w:val="28"/>
          <w:szCs w:val="28"/>
        </w:rPr>
        <w:t>горяч</w:t>
      </w:r>
      <w:r w:rsidR="00797956">
        <w:rPr>
          <w:rFonts w:ascii="Times New Roman" w:hAnsi="Times New Roman" w:cs="Times New Roman"/>
          <w:sz w:val="28"/>
          <w:szCs w:val="28"/>
        </w:rPr>
        <w:t>ий завтрак, а 303 подвозимых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56">
        <w:rPr>
          <w:rFonts w:ascii="Times New Roman" w:hAnsi="Times New Roman" w:cs="Times New Roman"/>
          <w:sz w:val="28"/>
          <w:szCs w:val="28"/>
        </w:rPr>
        <w:t>и обед на сумму от 65,17коп</w:t>
      </w:r>
      <w:proofErr w:type="gramStart"/>
      <w:r w:rsidR="00797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9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97956">
        <w:rPr>
          <w:rFonts w:ascii="Times New Roman" w:hAnsi="Times New Roman" w:cs="Times New Roman"/>
          <w:sz w:val="28"/>
          <w:szCs w:val="28"/>
        </w:rPr>
        <w:t>о 75,75коп. в зависимости от возраста.</w:t>
      </w:r>
      <w:r w:rsidR="00973188" w:rsidRPr="00973188">
        <w:rPr>
          <w:rFonts w:ascii="Times New Roman" w:hAnsi="Times New Roman" w:cs="Times New Roman"/>
          <w:sz w:val="28"/>
          <w:szCs w:val="28"/>
        </w:rPr>
        <w:t xml:space="preserve"> Таких учащихся в районе 1465</w:t>
      </w:r>
      <w:r w:rsidR="00E96E47">
        <w:rPr>
          <w:rFonts w:ascii="Times New Roman" w:hAnsi="Times New Roman" w:cs="Times New Roman"/>
          <w:sz w:val="28"/>
          <w:szCs w:val="28"/>
        </w:rPr>
        <w:t xml:space="preserve"> </w:t>
      </w:r>
      <w:r w:rsidR="00797956">
        <w:rPr>
          <w:rFonts w:ascii="Times New Roman" w:hAnsi="Times New Roman" w:cs="Times New Roman"/>
          <w:sz w:val="28"/>
          <w:szCs w:val="28"/>
        </w:rPr>
        <w:t>человек</w:t>
      </w:r>
      <w:r w:rsidR="002872FF" w:rsidRPr="002872FF">
        <w:rPr>
          <w:rFonts w:ascii="Times New Roman" w:hAnsi="Times New Roman" w:cs="Times New Roman"/>
          <w:sz w:val="28"/>
          <w:szCs w:val="28"/>
        </w:rPr>
        <w:t>.</w:t>
      </w:r>
    </w:p>
    <w:p w:rsidR="00EB2890" w:rsidRPr="00BE3EF3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994 ребенка дошкольного возраста посещают детские сады Иланского района,</w:t>
      </w:r>
      <w:r w:rsidRPr="00BE3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них 50 детей в возрасте до 3 лет.</w:t>
      </w:r>
      <w:r w:rsidRPr="00BE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90" w:rsidRPr="00BE3EF3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890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2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27432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2890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2890" w:rsidRPr="00BE3EF3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В 2018г. очередность детей в возрасте от 4 до 7 лет в Иланском районе была ликвидирована полностью.</w:t>
      </w:r>
    </w:p>
    <w:p w:rsidR="00EB2890" w:rsidRDefault="00EB2890" w:rsidP="00EB2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EF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конец</w:t>
      </w:r>
      <w:proofErr w:type="gramEnd"/>
      <w:r w:rsidRPr="00BE3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2018 года</w:t>
      </w:r>
      <w:r w:rsidRPr="00BE3EF3">
        <w:rPr>
          <w:rFonts w:ascii="Times New Roman" w:hAnsi="Times New Roman" w:cs="Times New Roman"/>
          <w:sz w:val="28"/>
          <w:szCs w:val="28"/>
        </w:rPr>
        <w:t xml:space="preserve"> в очереди для определения в дошкольные образовательные учреждения Иланского района состоит 513 детей в возрасте от 0 до 3 лет, из них:</w:t>
      </w:r>
    </w:p>
    <w:p w:rsidR="009E4DA4" w:rsidRDefault="009E4DA4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90" w:rsidRDefault="00EB2890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725" cy="2695575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2890" w:rsidRDefault="00EB2890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70" w:rsidRPr="00797956" w:rsidRDefault="00797956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риказом управления образования Админи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страции Иланского района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утвержден план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айонных мероприятий с учащимися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2018-2019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Выполнение плана</w:t>
      </w:r>
      <w:r w:rsidR="003F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 вхождение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Иланского района в краевые проекты, конкурсы, олимпиады, нацеленные на раскрытие и развитие способностей, талантов для детей с особыми образовательными потребно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стями.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Значимыми мероприятиями можно выделить: Всероссийский конкурс сочинений, Вс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ероссийская олимпиада школьников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Краевая акция «Зимняя планета детства», районная акция «С миру по нитке, собираем мы улыбки!» (посвященная международному дню толерантности), участие 2х 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делегатов в общероссийской елке, 14 детей</w:t>
      </w:r>
      <w:r w:rsidR="003F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в Губернаторской елке.</w:t>
      </w:r>
    </w:p>
    <w:p w:rsidR="00361C70" w:rsidRPr="00973188" w:rsidRDefault="00361C70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 ДО «ЦДО» приняли участие в районном конкурсе «LEGO RACE», в зональном робототехническом фестивале «</w:t>
      </w:r>
      <w:proofErr w:type="spell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Роботех</w:t>
      </w:r>
      <w:proofErr w:type="spell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2018». Руководитель технического направления 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 школах </w:t>
      </w: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 2 мастер-класса по Шорт-треку </w:t>
      </w:r>
      <w:r w:rsidR="00EB289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риняли участие </w:t>
      </w: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РОБОТОБИАТЛОНЕ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стали победителями. </w:t>
      </w: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Приняли участие в открытом чемпионате восточной зоны Красноярского края по мобильной робототехнике в рейтинговой таблице заняли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место из 36. В марте проходил региональный робототехнический фестиваль «Планета </w:t>
      </w:r>
      <w:proofErr w:type="spell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RoboT</w:t>
      </w:r>
      <w:proofErr w:type="spell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» среди студентов и школьников наша команда заняла первое место.</w:t>
      </w:r>
    </w:p>
    <w:p w:rsidR="00361C70" w:rsidRPr="00973188" w:rsidRDefault="00361C70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совместного плана комплексных мероприятий по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ДДТТ с ОГИБДД в системе проводятся районные акции:</w:t>
      </w: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«Притормози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>», «Засветись» и</w:t>
      </w:r>
      <w:r w:rsidR="003F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ко Дню памяти жертв ДТП</w:t>
      </w:r>
      <w:r w:rsidR="00E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1C70" w:rsidRPr="00973188" w:rsidRDefault="00ED3DD6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Центром дополнительного образования был</w:t>
      </w:r>
      <w:r w:rsidR="003F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этап краевого творческого фестиваля «Таланты без границ», по итогу дети прошли на межмуниципальный этап, на краевой отборочный, и на краевом этапе лауреатом 2 степени стала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Торикова</w:t>
      </w:r>
      <w:proofErr w:type="spellEnd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Ксения, обучающаяся МБОУ «Далайская СОШ №11».</w:t>
      </w:r>
      <w:proofErr w:type="gramEnd"/>
    </w:p>
    <w:p w:rsidR="00361C70" w:rsidRPr="00973188" w:rsidRDefault="00ED3DD6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 формате, в виде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проходил районный конкурс «Ученик года 2018» среди обучающихся 8-11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Дипломом 1 степени награжден: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Захарчев</w:t>
      </w:r>
      <w:proofErr w:type="spellEnd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 ученик 9 класса МБОУ «Иланская СОШ №41»;</w:t>
      </w:r>
    </w:p>
    <w:p w:rsidR="00361C70" w:rsidRPr="00973188" w:rsidRDefault="00361C70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Дипломом 2 степени </w:t>
      </w: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награждена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Торикова</w:t>
      </w:r>
      <w:proofErr w:type="spell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Ирина, ученица 11 класса МБОУ «Далайская СОШ №11»;</w:t>
      </w:r>
    </w:p>
    <w:p w:rsidR="00361C70" w:rsidRPr="00973188" w:rsidRDefault="00361C70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Дипломом 3 степени </w:t>
      </w:r>
      <w:proofErr w:type="gram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награждена</w:t>
      </w:r>
      <w:proofErr w:type="gram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Жишко</w:t>
      </w:r>
      <w:proofErr w:type="spellEnd"/>
      <w:r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Светла, ученица 10 класса МБОУ «Иланская СОШ №1».</w:t>
      </w:r>
    </w:p>
    <w:p w:rsidR="00361C70" w:rsidRPr="00973188" w:rsidRDefault="00ED3DD6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нескольких лет проводится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научно-практическая конференция «Первые шаги в науку» среди 1-5 классов, работы победителей были отправлены на краевую научно-практическую конференцию «Страна Чудес» в которой победителем стал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Абидинов</w:t>
      </w:r>
      <w:proofErr w:type="spellEnd"/>
      <w:r w:rsidR="00E9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Нуртилек</w:t>
      </w:r>
      <w:proofErr w:type="spellEnd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 МБОУ «Далайская СОШ №9».</w:t>
      </w:r>
    </w:p>
    <w:p w:rsidR="00357E40" w:rsidRPr="00973188" w:rsidRDefault="00ED3DD6" w:rsidP="00E96E4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роходил муниципальный этап краевого молодежного фестиваля «Научный потенциал Сибири» среди 6-11 классов, работы победителей были направлены на краевой заочный этап. По итогу на краевой очный этап была приглашена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Зацепилина</w:t>
      </w:r>
      <w:proofErr w:type="spellEnd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Евгения, обучающаяся МБОУ «Новониколаевская СОШ №9» по направлению: биология и медицина, с темой работы: «Новые тенденции: </w:t>
      </w:r>
      <w:proofErr w:type="spellStart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>дерматолиграфика</w:t>
      </w:r>
      <w:proofErr w:type="spellEnd"/>
      <w:r w:rsidR="00361C70" w:rsidRPr="0097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особенности личности».</w:t>
      </w:r>
    </w:p>
    <w:p w:rsidR="003E438D" w:rsidRDefault="006D2551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 xml:space="preserve">Перед началом 2018-19 учебного года в процессе работы муниципальной комиссии было принято без замечаний </w:t>
      </w:r>
      <w:r w:rsidR="00ED3DD6">
        <w:rPr>
          <w:rFonts w:ascii="Times New Roman" w:hAnsi="Times New Roman" w:cs="Times New Roman"/>
          <w:sz w:val="28"/>
          <w:szCs w:val="28"/>
        </w:rPr>
        <w:t xml:space="preserve">все </w:t>
      </w:r>
      <w:r w:rsidRPr="006D2551">
        <w:rPr>
          <w:rFonts w:ascii="Times New Roman" w:hAnsi="Times New Roman" w:cs="Times New Roman"/>
          <w:sz w:val="28"/>
          <w:szCs w:val="28"/>
        </w:rPr>
        <w:t>30 учреждений</w:t>
      </w:r>
      <w:r w:rsidR="00ED3DD6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3C6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551">
        <w:rPr>
          <w:rFonts w:ascii="Times New Roman" w:hAnsi="Times New Roman" w:cs="Times New Roman"/>
          <w:sz w:val="28"/>
          <w:szCs w:val="28"/>
        </w:rPr>
        <w:t>Для подготовки ежегодно выделяются как краевые, так и местные денежные средства для устранения предписаний надзорных органов, приведения учреждений в надлежащее нормам состояние, а так же ремонтных работ (в 2018 году на школы было выд</w:t>
      </w:r>
      <w:r w:rsidR="003E438D">
        <w:rPr>
          <w:rFonts w:ascii="Times New Roman" w:hAnsi="Times New Roman" w:cs="Times New Roman"/>
          <w:sz w:val="28"/>
          <w:szCs w:val="28"/>
        </w:rPr>
        <w:t>елено 1 580 800,00 рублей из краев</w:t>
      </w:r>
      <w:r w:rsidRPr="006D2551">
        <w:rPr>
          <w:rFonts w:ascii="Times New Roman" w:hAnsi="Times New Roman" w:cs="Times New Roman"/>
          <w:sz w:val="28"/>
          <w:szCs w:val="28"/>
        </w:rPr>
        <w:t xml:space="preserve">ого бюджета, 1 032 026,40 рублей на школы и 600 000,00 рублей на сады из местного бюджета). </w:t>
      </w:r>
      <w:proofErr w:type="gramEnd"/>
    </w:p>
    <w:p w:rsidR="003E438D" w:rsidRDefault="006D2551" w:rsidP="00E9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 xml:space="preserve">Основные виды работ: </w:t>
      </w:r>
    </w:p>
    <w:p w:rsidR="003E438D" w:rsidRDefault="006D2551" w:rsidP="003C66F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>Капитальный ремонт пищеблока в МБОУ «Новопокровская СОШ №7», на суму 1 712 826,40 рублей,</w:t>
      </w:r>
    </w:p>
    <w:p w:rsidR="003E438D" w:rsidRDefault="006D2551" w:rsidP="003C66F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 xml:space="preserve">замена освещения на </w:t>
      </w:r>
      <w:proofErr w:type="gramStart"/>
      <w:r w:rsidRPr="006D2551">
        <w:rPr>
          <w:rFonts w:ascii="Times New Roman" w:hAnsi="Times New Roman" w:cs="Times New Roman"/>
          <w:sz w:val="28"/>
          <w:szCs w:val="28"/>
        </w:rPr>
        <w:t>светодиодное</w:t>
      </w:r>
      <w:proofErr w:type="gramEnd"/>
      <w:r w:rsidRPr="006D2551">
        <w:rPr>
          <w:rFonts w:ascii="Times New Roman" w:hAnsi="Times New Roman" w:cs="Times New Roman"/>
          <w:sz w:val="28"/>
          <w:szCs w:val="28"/>
        </w:rPr>
        <w:t xml:space="preserve"> в учебных кабинетах 4 школ на общую сумму 144 000,00 рублей,</w:t>
      </w:r>
    </w:p>
    <w:p w:rsidR="003E438D" w:rsidRDefault="006D2551" w:rsidP="003C66F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>устройство системы контроля доступа в образовательные учреждения города в МБОУ «Иланская СОШ №1» на сумму 290 000,00 рублей и 2 детских сада (МБДОУ «Иланский детский сад №7», «Иланский детский сад №50») на общую сумму 210 000,00 рублей,</w:t>
      </w:r>
    </w:p>
    <w:p w:rsidR="003E438D" w:rsidRDefault="006D2551" w:rsidP="003C66F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 xml:space="preserve"> косметический ремонт стен и потолков учреждений, а так же замена полов на линолеум в 4 школах и 1 детском саду садах на общую сумму 250 000,00 рублей, </w:t>
      </w:r>
    </w:p>
    <w:p w:rsidR="006D2551" w:rsidRPr="006D2551" w:rsidRDefault="006D2551" w:rsidP="003C66F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>а так же другие виды ремонтных работ, такие как капитальный ремонт кровли в МБОУ «</w:t>
      </w:r>
      <w:r w:rsidR="003E438D">
        <w:rPr>
          <w:rFonts w:ascii="Times New Roman" w:hAnsi="Times New Roman" w:cs="Times New Roman"/>
          <w:sz w:val="28"/>
          <w:szCs w:val="28"/>
        </w:rPr>
        <w:t>Иланская СОШ №1» из краевого</w:t>
      </w:r>
      <w:r w:rsidRPr="006D2551">
        <w:rPr>
          <w:rFonts w:ascii="Times New Roman" w:hAnsi="Times New Roman" w:cs="Times New Roman"/>
          <w:sz w:val="28"/>
          <w:szCs w:val="28"/>
        </w:rPr>
        <w:t xml:space="preserve"> и местного бюджетов, на общую сумму 8 800 000,00 рублей.</w:t>
      </w:r>
    </w:p>
    <w:p w:rsidR="006D2551" w:rsidRPr="006D2551" w:rsidRDefault="003E438D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 w:rsidR="006D2551" w:rsidRPr="006D2551">
        <w:rPr>
          <w:rFonts w:ascii="Times New Roman" w:hAnsi="Times New Roman" w:cs="Times New Roman"/>
          <w:sz w:val="28"/>
          <w:szCs w:val="28"/>
        </w:rPr>
        <w:t xml:space="preserve">районе имеется 16 школьных автобусов, занимающихся перевозкой детей. В 2018 году было получено 2 </w:t>
      </w:r>
      <w:proofErr w:type="gramStart"/>
      <w:r w:rsidR="006D2551" w:rsidRPr="006D2551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6D2551" w:rsidRPr="006D2551">
        <w:rPr>
          <w:rFonts w:ascii="Times New Roman" w:hAnsi="Times New Roman" w:cs="Times New Roman"/>
          <w:sz w:val="28"/>
          <w:szCs w:val="28"/>
        </w:rPr>
        <w:t xml:space="preserve"> автобуса марки ПАЗ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D2551" w:rsidRPr="006D2551">
        <w:rPr>
          <w:rFonts w:ascii="Times New Roman" w:hAnsi="Times New Roman" w:cs="Times New Roman"/>
          <w:sz w:val="28"/>
          <w:szCs w:val="28"/>
        </w:rPr>
        <w:t xml:space="preserve"> МБОУ «Новониколаевская СОШ №9» и «Новогородская СОШ №3». Планируется к замене в 2019 году 3 автобуса, в 2020 году 7 автобусов. К 2021 году весь парк транспортных средств, предназначенных для подвоза детей к базовым школам, будет обновлен.</w:t>
      </w:r>
    </w:p>
    <w:p w:rsidR="006D2551" w:rsidRPr="006D2551" w:rsidRDefault="006D2551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lastRenderedPageBreak/>
        <w:t>434 ребенка находятся на подвозе к базовым школам. К началу 2018-2019 учебного года было открыто еще 8 школьных маршрутов, в том числе и для городских детей, в данный момент работает 24 школьных маршрута.</w:t>
      </w:r>
    </w:p>
    <w:p w:rsidR="006D2551" w:rsidRPr="006D2551" w:rsidRDefault="003E438D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учреж</w:t>
      </w:r>
      <w:r w:rsidR="00250D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здания находится в аварийном состоянии. В настоящее время проводятся организационные работы по устранению аварийности.</w:t>
      </w:r>
      <w:r w:rsidR="003F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551" w:rsidRPr="006D2551" w:rsidRDefault="006D2551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 xml:space="preserve">В 2018 году управлением образования проведена </w:t>
      </w:r>
      <w:r w:rsidR="003E438D">
        <w:rPr>
          <w:rFonts w:ascii="Times New Roman" w:hAnsi="Times New Roman" w:cs="Times New Roman"/>
          <w:sz w:val="28"/>
          <w:szCs w:val="28"/>
        </w:rPr>
        <w:t xml:space="preserve">целенаправленная </w:t>
      </w:r>
      <w:r w:rsidRPr="006D2551">
        <w:rPr>
          <w:rFonts w:ascii="Times New Roman" w:hAnsi="Times New Roman" w:cs="Times New Roman"/>
          <w:sz w:val="28"/>
          <w:szCs w:val="28"/>
        </w:rPr>
        <w:t>ра</w:t>
      </w:r>
      <w:r w:rsidR="003E438D">
        <w:rPr>
          <w:rFonts w:ascii="Times New Roman" w:hAnsi="Times New Roman" w:cs="Times New Roman"/>
          <w:sz w:val="28"/>
          <w:szCs w:val="28"/>
        </w:rPr>
        <w:t>бота по организации в ОО</w:t>
      </w:r>
      <w:r w:rsidRPr="006D2551">
        <w:rPr>
          <w:rFonts w:ascii="Times New Roman" w:hAnsi="Times New Roman" w:cs="Times New Roman"/>
          <w:sz w:val="28"/>
          <w:szCs w:val="28"/>
        </w:rPr>
        <w:t xml:space="preserve"> работы по созданию антитеррористической и </w:t>
      </w:r>
      <w:proofErr w:type="spellStart"/>
      <w:r w:rsidRPr="006D2551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6D2551">
        <w:rPr>
          <w:rFonts w:ascii="Times New Roman" w:hAnsi="Times New Roman" w:cs="Times New Roman"/>
          <w:sz w:val="28"/>
          <w:szCs w:val="28"/>
        </w:rPr>
        <w:t xml:space="preserve"> обстановки в виде проведения обследования учреждений межведомственной комиссией и разработки паспортов антитеррористической безопасности.</w:t>
      </w:r>
    </w:p>
    <w:p w:rsidR="006A5636" w:rsidRDefault="006D2551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51">
        <w:rPr>
          <w:rFonts w:ascii="Times New Roman" w:hAnsi="Times New Roman" w:cs="Times New Roman"/>
          <w:sz w:val="28"/>
          <w:szCs w:val="28"/>
        </w:rPr>
        <w:t>Результатом в данный момент служит установка системы контроля доступа в 3 учреждениях города (1 школа МБОУ «Иланская СОШ №1» и 2 детских сада МБДОУ «Иланский детский сад №7» и «Иланский детский сад №50»), устройство ограждений и металлических дверей в сельских школах и садах. В перспективе 2019 года устройство данной системы в МБОУ «Иланская СОШ №2» и «Иланская СОШ №41», устройство системы видеонаблюдения, а так же устройство системы охранной сигнализации в школах и садах города.</w:t>
      </w:r>
    </w:p>
    <w:p w:rsidR="009E4DA4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Основными задачами отдела опеки и попечительства являются: своевременное выявление детей-сирот и детей, оставшихся без попечения родителей, а так же детей, находящихся в неблагополучных семьях, профилактика социального сиротства, постановка на учет и предоставление всех льгот, предусмотренных действующим законодательством.</w:t>
      </w:r>
    </w:p>
    <w:p w:rsidR="002872FF" w:rsidRDefault="009E4DA4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A4">
        <w:rPr>
          <w:rFonts w:ascii="Times New Roman" w:hAnsi="Times New Roman" w:cs="Times New Roman"/>
          <w:sz w:val="28"/>
          <w:szCs w:val="28"/>
        </w:rPr>
        <w:t>Всего детей – сирот, детей, оставшихся без попечения родителей на учёте в секторе 140 человек.</w:t>
      </w:r>
    </w:p>
    <w:p w:rsidR="002872FF" w:rsidRPr="00BE3EF3" w:rsidRDefault="009E4DA4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З</w:t>
      </w:r>
      <w:r w:rsidR="002872FF" w:rsidRPr="00BE3EF3">
        <w:rPr>
          <w:rFonts w:ascii="Times New Roman" w:hAnsi="Times New Roman" w:cs="Times New Roman"/>
          <w:sz w:val="28"/>
          <w:szCs w:val="28"/>
        </w:rPr>
        <w:t>а 2018 год количество вновь выявленных детей, оставшихся без попечения родителей, составило 21 человек.</w:t>
      </w:r>
    </w:p>
    <w:p w:rsidR="002872FF" w:rsidRPr="00BE3EF3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В 2018 году наблюдается положительная динамика по сравнению с 2017 годом, необходимо продолжать сокращение процента социальных сирот. Её решение – в кардинальном изменении подхода к работе с неблагополучными семьями и детьми, проживающими в таких семьях.</w:t>
      </w:r>
    </w:p>
    <w:p w:rsidR="002872FF" w:rsidRPr="00BE3EF3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FF" w:rsidRPr="00BE3EF3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Так, вследствие ненадлежащего исполнения родительских обязанностей были лишены и ограничены в родительских правах:</w:t>
      </w:r>
    </w:p>
    <w:p w:rsidR="00C7091B" w:rsidRPr="00BE3EF3" w:rsidRDefault="00C7091B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513" w:rsidRDefault="00A72513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A725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25B7" w:rsidRPr="001925B7" w:rsidRDefault="001925B7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1925B7" w:rsidRPr="00BE3EF3" w:rsidRDefault="001925B7" w:rsidP="001925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Ведется целенаправленная работа по улучшению положения детей, оставшихся без попечения родителей, развитию семейных форм устройства детей-сирот. В 2018 году на воспитание в семьи передано 14 детей.</w:t>
      </w:r>
    </w:p>
    <w:p w:rsidR="00E902C2" w:rsidRDefault="00E902C2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72FF" w:rsidRPr="00BE3EF3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95 детей в летний период отдохнули в загородных лагерях, лагерях дневного пребывания, в санаториях.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На 01.12.2018 года в списке нуждающихся в жилых помещениях</w:t>
      </w:r>
      <w:r w:rsidRPr="002872FF">
        <w:rPr>
          <w:rFonts w:ascii="Times New Roman" w:hAnsi="Times New Roman" w:cs="Times New Roman"/>
          <w:sz w:val="28"/>
          <w:szCs w:val="28"/>
        </w:rPr>
        <w:t xml:space="preserve"> министерства образования Красноярского края состоят 140 сирот для получения жилья в Иланском районе из 7926 человек. Отделом опеки и попечительства управления образования Администрации Иланского района в 2018 году направлено в краевую жилищную комиссию министерства образования Красноярского края 18 учетных дел, поставлено на учет – 15.</w:t>
      </w:r>
    </w:p>
    <w:p w:rsidR="002872FF" w:rsidRPr="00BE3EF3" w:rsidRDefault="00BE3EF3" w:rsidP="00BE3E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FF" w:rsidRPr="00BE3EF3">
        <w:rPr>
          <w:rFonts w:ascii="Times New Roman" w:hAnsi="Times New Roman" w:cs="Times New Roman"/>
          <w:sz w:val="28"/>
          <w:szCs w:val="28"/>
        </w:rPr>
        <w:t>С 2013 по 01.01.2018 года приобретено и передано сиротам 74 жилых помещений, из них: только 27 – лицам из числа детей-сирот и детей, оставшихся без попечения родителей, стоящих на учете в министерстве образования Красноярского края, остальные 47 -</w:t>
      </w:r>
      <w:r w:rsidR="003C66F0" w:rsidRPr="00BE3EF3">
        <w:rPr>
          <w:rFonts w:ascii="Times New Roman" w:hAnsi="Times New Roman" w:cs="Times New Roman"/>
          <w:sz w:val="28"/>
          <w:szCs w:val="28"/>
        </w:rPr>
        <w:t xml:space="preserve"> </w:t>
      </w:r>
      <w:r w:rsidR="002872FF" w:rsidRPr="00BE3EF3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902C2" w:rsidRDefault="00E902C2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2C2" w:rsidRDefault="00E902C2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0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02C2" w:rsidRDefault="00E902C2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72FF" w:rsidRPr="00BE3EF3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За 2018 год (для исполнения решения судов) приобретено 5 жилых помещений, из муниципального фонда предоставлено 2 квартиры для сирот (в связи со смертью сирот), а также дополнительно выделены денежные средства (за счет экономии) на приобретение ещё 2 квартир.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F3">
        <w:rPr>
          <w:rFonts w:ascii="Times New Roman" w:hAnsi="Times New Roman" w:cs="Times New Roman"/>
          <w:sz w:val="28"/>
          <w:szCs w:val="28"/>
        </w:rPr>
        <w:t>На сегодняшний день рассмотрено в судебном порядке 7 исковых заявлений по инициативе прокуратуры Иланского района и удовлетворено из них</w:t>
      </w:r>
      <w:r w:rsidR="003C66F0" w:rsidRPr="00BE3EF3">
        <w:rPr>
          <w:rFonts w:ascii="Times New Roman" w:hAnsi="Times New Roman" w:cs="Times New Roman"/>
          <w:sz w:val="28"/>
          <w:szCs w:val="28"/>
        </w:rPr>
        <w:t xml:space="preserve"> </w:t>
      </w:r>
      <w:r w:rsidRPr="00BE3EF3">
        <w:rPr>
          <w:rFonts w:ascii="Times New Roman" w:hAnsi="Times New Roman" w:cs="Times New Roman"/>
          <w:sz w:val="28"/>
          <w:szCs w:val="28"/>
        </w:rPr>
        <w:t>- 5, где Администрацию Иланского района обязывают предоставить жилые помещения для сирот по договору специализированного найма.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На территории Иланского района закреплено 36 жилых помещений за 54 детьми –</w:t>
      </w:r>
      <w:r w:rsidR="003C66F0">
        <w:rPr>
          <w:rFonts w:ascii="Times New Roman" w:hAnsi="Times New Roman" w:cs="Times New Roman"/>
          <w:sz w:val="28"/>
          <w:szCs w:val="28"/>
        </w:rPr>
        <w:t xml:space="preserve"> </w:t>
      </w:r>
      <w:r w:rsidRPr="002872FF">
        <w:rPr>
          <w:rFonts w:ascii="Times New Roman" w:hAnsi="Times New Roman" w:cs="Times New Roman"/>
          <w:sz w:val="28"/>
          <w:szCs w:val="28"/>
        </w:rPr>
        <w:t xml:space="preserve">сиротами и детьми, оставшимися без попечения родителей, </w:t>
      </w:r>
      <w:proofErr w:type="gramStart"/>
      <w:r w:rsidRPr="00287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2FF">
        <w:rPr>
          <w:rFonts w:ascii="Times New Roman" w:hAnsi="Times New Roman" w:cs="Times New Roman"/>
          <w:sz w:val="28"/>
          <w:szCs w:val="28"/>
        </w:rPr>
        <w:t xml:space="preserve"> сохранностью возложено на органы опеки и попечительства, о сохранность осуществляют законные представители сирот.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За 2018 год выявлено 2 факта невозможности проживания сирот в жилом помещении и 1 факт незаконного закрепления жилья.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>На 17.12. 2018 года выдано 17 разрешений родителям на совершение сделок купли- продажи жилых помещений.</w:t>
      </w:r>
    </w:p>
    <w:p w:rsidR="002872FF" w:rsidRPr="002872FF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FF" w:rsidRPr="00F80329" w:rsidRDefault="002872FF" w:rsidP="003C6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FF">
        <w:rPr>
          <w:rFonts w:ascii="Times New Roman" w:hAnsi="Times New Roman" w:cs="Times New Roman"/>
          <w:sz w:val="28"/>
          <w:szCs w:val="28"/>
        </w:rPr>
        <w:t xml:space="preserve">Для решения вопросов защиты личных прав несовершеннолетних за 2018 год специалисты отдела опеки и попечительства участвовали в 85 судебных заседаниях, предоставлены 19 заключений управления образования </w:t>
      </w:r>
      <w:r w:rsidRPr="00F80329">
        <w:rPr>
          <w:rFonts w:ascii="Times New Roman" w:hAnsi="Times New Roman" w:cs="Times New Roman"/>
          <w:sz w:val="28"/>
          <w:szCs w:val="28"/>
        </w:rPr>
        <w:t>по вопросам лишения и ограничения в родительских правах.</w:t>
      </w:r>
    </w:p>
    <w:p w:rsidR="00586FDD" w:rsidRPr="00F80329" w:rsidRDefault="00586FDD" w:rsidP="0058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29">
        <w:rPr>
          <w:rFonts w:ascii="Times New Roman" w:hAnsi="Times New Roman" w:cs="Times New Roman"/>
          <w:sz w:val="28"/>
          <w:szCs w:val="28"/>
        </w:rPr>
        <w:t xml:space="preserve">На базе «Ресурсного центра в сфере образования» управления образования Администрации Иланского района на постоянной основе функционирует психолого-медико-педагогическая комиссия Иланского района (далее - ПМПК). ПМПК работает с целью своевременного выявления особенностей в  психическом и физическом развитии детей с 0 до 18 лет. </w:t>
      </w:r>
    </w:p>
    <w:p w:rsidR="00586FDD" w:rsidRPr="00F80329" w:rsidRDefault="00586FDD" w:rsidP="0058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29">
        <w:rPr>
          <w:rFonts w:ascii="Times New Roman" w:hAnsi="Times New Roman" w:cs="Times New Roman"/>
          <w:sz w:val="28"/>
          <w:szCs w:val="28"/>
        </w:rPr>
        <w:t>За 2018 год было проведено заседаний (из них плановых - 41, внеплановых</w:t>
      </w:r>
      <w:r w:rsidR="00AB6281" w:rsidRP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-</w:t>
      </w:r>
      <w:r w:rsidR="00AB6281" w:rsidRP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 xml:space="preserve">15). Обследовано 342 несовершеннолетних. Консультации </w:t>
      </w:r>
      <w:r w:rsidRPr="00F80329">
        <w:rPr>
          <w:rFonts w:ascii="Times New Roman" w:hAnsi="Times New Roman" w:cs="Times New Roman"/>
          <w:sz w:val="28"/>
          <w:szCs w:val="28"/>
        </w:rPr>
        <w:lastRenderedPageBreak/>
        <w:t>оказаны: детям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-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352, родителям (законным представителям)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-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541, педагогам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-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92.</w:t>
      </w:r>
    </w:p>
    <w:p w:rsidR="00586FDD" w:rsidRPr="00F80329" w:rsidRDefault="00586FDD" w:rsidP="0058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29">
        <w:rPr>
          <w:rFonts w:ascii="Times New Roman" w:hAnsi="Times New Roman" w:cs="Times New Roman"/>
          <w:sz w:val="28"/>
          <w:szCs w:val="28"/>
        </w:rPr>
        <w:t>Продление дошкольного детства – 1 человек.</w:t>
      </w:r>
    </w:p>
    <w:p w:rsidR="00586FDD" w:rsidRPr="00F80329" w:rsidRDefault="00586FDD" w:rsidP="0058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29">
        <w:rPr>
          <w:rFonts w:ascii="Times New Roman" w:hAnsi="Times New Roman" w:cs="Times New Roman"/>
          <w:sz w:val="28"/>
          <w:szCs w:val="28"/>
        </w:rPr>
        <w:t>На повторный год обучения оставлено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-</w:t>
      </w:r>
      <w:r w:rsidR="00F80329">
        <w:rPr>
          <w:rFonts w:ascii="Times New Roman" w:hAnsi="Times New Roman" w:cs="Times New Roman"/>
          <w:sz w:val="28"/>
          <w:szCs w:val="28"/>
        </w:rPr>
        <w:t xml:space="preserve"> </w:t>
      </w:r>
      <w:r w:rsidRPr="00F80329">
        <w:rPr>
          <w:rFonts w:ascii="Times New Roman" w:hAnsi="Times New Roman" w:cs="Times New Roman"/>
          <w:sz w:val="28"/>
          <w:szCs w:val="28"/>
        </w:rPr>
        <w:t>7 человек.</w:t>
      </w:r>
    </w:p>
    <w:p w:rsidR="00586FDD" w:rsidRPr="00F80329" w:rsidRDefault="00586FDD" w:rsidP="0058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29">
        <w:rPr>
          <w:rFonts w:ascii="Times New Roman" w:hAnsi="Times New Roman" w:cs="Times New Roman"/>
          <w:sz w:val="28"/>
          <w:szCs w:val="28"/>
        </w:rPr>
        <w:t>Перевод на адаптированную образовательную программу – 16 человек.</w:t>
      </w: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099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B22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по программам обучения</w:t>
      </w: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6FDD" w:rsidRDefault="00586FDD" w:rsidP="00586F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B22">
        <w:rPr>
          <w:rFonts w:ascii="Times New Roman" w:hAnsi="Times New Roman" w:cs="Times New Roman"/>
          <w:noProof/>
          <w:sz w:val="36"/>
          <w:szCs w:val="28"/>
          <w:lang w:eastAsia="ru-RU"/>
        </w:rPr>
        <w:lastRenderedPageBreak/>
        <w:drawing>
          <wp:inline distT="0" distB="0" distL="0" distR="0">
            <wp:extent cx="5657850" cy="3552825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5C8E" w:rsidRDefault="00FF5C8E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5C8E" w:rsidRPr="00BE3EF3" w:rsidRDefault="00BE3EF3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BE3EF3">
        <w:rPr>
          <w:rFonts w:ascii="Times New Roman" w:hAnsi="Times New Roman" w:cs="Times New Roman"/>
          <w:sz w:val="28"/>
          <w:szCs w:val="28"/>
        </w:rPr>
        <w:t>истема образования фун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BE3EF3">
        <w:rPr>
          <w:rFonts w:ascii="Times New Roman" w:hAnsi="Times New Roman" w:cs="Times New Roman"/>
          <w:sz w:val="28"/>
          <w:szCs w:val="28"/>
        </w:rPr>
        <w:t>ционирует стабильно, находится в режиме развития, выполняет поставленные задачи в рамках определенных полномочий.</w:t>
      </w:r>
    </w:p>
    <w:p w:rsidR="002872FF" w:rsidRPr="002872FF" w:rsidRDefault="002872FF" w:rsidP="00C0689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2FF" w:rsidRPr="002872FF" w:rsidRDefault="003840F1" w:rsidP="00384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образования Н.И. Туровец</w:t>
      </w:r>
    </w:p>
    <w:sectPr w:rsidR="002872FF" w:rsidRPr="002872FF" w:rsidSect="00C1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30A1"/>
    <w:multiLevelType w:val="hybridMultilevel"/>
    <w:tmpl w:val="91C48C1C"/>
    <w:lvl w:ilvl="0" w:tplc="E1287F0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597F2914"/>
    <w:multiLevelType w:val="hybridMultilevel"/>
    <w:tmpl w:val="5EB6F9FC"/>
    <w:lvl w:ilvl="0" w:tplc="E1287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6C54D1"/>
    <w:multiLevelType w:val="hybridMultilevel"/>
    <w:tmpl w:val="374A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94F69"/>
    <w:multiLevelType w:val="hybridMultilevel"/>
    <w:tmpl w:val="45E6F4D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FE"/>
    <w:rsid w:val="00046B43"/>
    <w:rsid w:val="00087F42"/>
    <w:rsid w:val="001123CF"/>
    <w:rsid w:val="00182FEF"/>
    <w:rsid w:val="001925B7"/>
    <w:rsid w:val="001A6A10"/>
    <w:rsid w:val="001D5F5F"/>
    <w:rsid w:val="00202374"/>
    <w:rsid w:val="00250DDD"/>
    <w:rsid w:val="002872FF"/>
    <w:rsid w:val="002A7EBA"/>
    <w:rsid w:val="002E0CD4"/>
    <w:rsid w:val="002F78DF"/>
    <w:rsid w:val="00351469"/>
    <w:rsid w:val="00357E40"/>
    <w:rsid w:val="00361C70"/>
    <w:rsid w:val="003840F1"/>
    <w:rsid w:val="003A17B2"/>
    <w:rsid w:val="003B10B5"/>
    <w:rsid w:val="003B693E"/>
    <w:rsid w:val="003C66F0"/>
    <w:rsid w:val="003E438D"/>
    <w:rsid w:val="003F7494"/>
    <w:rsid w:val="00466AC8"/>
    <w:rsid w:val="004E0BC9"/>
    <w:rsid w:val="00541FCA"/>
    <w:rsid w:val="00586FDD"/>
    <w:rsid w:val="005F5F3B"/>
    <w:rsid w:val="00606348"/>
    <w:rsid w:val="00611E1E"/>
    <w:rsid w:val="0061696F"/>
    <w:rsid w:val="00635F41"/>
    <w:rsid w:val="00681C36"/>
    <w:rsid w:val="006A5636"/>
    <w:rsid w:val="006D2551"/>
    <w:rsid w:val="006D7DC5"/>
    <w:rsid w:val="0074092F"/>
    <w:rsid w:val="00742616"/>
    <w:rsid w:val="007555A8"/>
    <w:rsid w:val="00755825"/>
    <w:rsid w:val="00797956"/>
    <w:rsid w:val="00826EEB"/>
    <w:rsid w:val="008E44CD"/>
    <w:rsid w:val="00973188"/>
    <w:rsid w:val="009E4DA4"/>
    <w:rsid w:val="009F3A73"/>
    <w:rsid w:val="00A12C95"/>
    <w:rsid w:val="00A15F17"/>
    <w:rsid w:val="00A72513"/>
    <w:rsid w:val="00A75F32"/>
    <w:rsid w:val="00AB6281"/>
    <w:rsid w:val="00B071F1"/>
    <w:rsid w:val="00BA38FF"/>
    <w:rsid w:val="00BE3EF3"/>
    <w:rsid w:val="00C06890"/>
    <w:rsid w:val="00C154A9"/>
    <w:rsid w:val="00C444EB"/>
    <w:rsid w:val="00C7091B"/>
    <w:rsid w:val="00D368FE"/>
    <w:rsid w:val="00D53B74"/>
    <w:rsid w:val="00D91200"/>
    <w:rsid w:val="00DD0C78"/>
    <w:rsid w:val="00E16947"/>
    <w:rsid w:val="00E6079A"/>
    <w:rsid w:val="00E902C2"/>
    <w:rsid w:val="00E964B6"/>
    <w:rsid w:val="00E96E47"/>
    <w:rsid w:val="00EB2890"/>
    <w:rsid w:val="00ED3DD6"/>
    <w:rsid w:val="00F80329"/>
    <w:rsid w:val="00F84DBF"/>
    <w:rsid w:val="00F9585E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A9"/>
  </w:style>
  <w:style w:type="paragraph" w:styleId="1">
    <w:name w:val="heading 1"/>
    <w:basedOn w:val="a"/>
    <w:next w:val="a"/>
    <w:link w:val="10"/>
    <w:uiPriority w:val="9"/>
    <w:qFormat/>
    <w:rsid w:val="006D25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2FF"/>
  </w:style>
  <w:style w:type="character" w:customStyle="1" w:styleId="10">
    <w:name w:val="Заголовок 1 Знак"/>
    <w:basedOn w:val="a0"/>
    <w:link w:val="1"/>
    <w:uiPriority w:val="9"/>
    <w:rsid w:val="006D2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7555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7555A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7555A8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uiPriority w:val="59"/>
    <w:rsid w:val="007555A8"/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7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6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Образовательные организации</a:t>
            </a:r>
          </a:p>
          <a:p>
            <a:pPr>
              <a:defRPr/>
            </a:pPr>
            <a:r>
              <a:rPr lang="ru-RU"/>
              <a:t>Иланского района</a:t>
            </a:r>
          </a:p>
        </c:rich>
      </c:tx>
    </c:title>
    <c:plotArea>
      <c:layout/>
      <c:ofPieChart>
        <c:ofPieType val="bar"/>
        <c:varyColors val="1"/>
        <c:ser>
          <c:idx val="0"/>
          <c:order val="0"/>
          <c:dLbls>
            <c:dLbl>
              <c:idx val="1"/>
              <c:layout>
                <c:manualLayout>
                  <c:x val="0.16471500437445349"/>
                  <c:y val="-4.4079542140565697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0.1314104246584562"/>
                  <c:y val="-2.4718475407965346E-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ОШ; 13</a:t>
                    </a:r>
                  </a:p>
                  <a:p>
                    <a:r>
                      <a:rPr lang="ru-RU"/>
                      <a:t>ООШ; 1</a:t>
                    </a:r>
                  </a:p>
                  <a:p>
                    <a:r>
                      <a:rPr lang="ru-RU"/>
                      <a:t>НОШ; 1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-0.16700821051214781"/>
                  <c:y val="-8.5998858838297568E-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Ш</a:t>
                    </a:r>
                    <a:r>
                      <a:rPr lang="ru-RU"/>
                      <a:t>колы; 15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Лист1!$A$1:$C$1</c:f>
              <c:strCache>
                <c:ptCount val="3"/>
                <c:pt idx="0">
                  <c:v>УДО</c:v>
                </c:pt>
                <c:pt idx="1">
                  <c:v>ДОУ</c:v>
                </c:pt>
                <c:pt idx="2">
                  <c:v>Школы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</c:ser>
        <c:dLbls>
          <c:showVal val="1"/>
          <c:showCatName val="1"/>
        </c:dLbls>
        <c:gapWidth val="100"/>
        <c:secondPieSize val="75"/>
        <c:serLines/>
      </c:of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0928815716217325"/>
          <c:y val="4.6709129511677279E-2"/>
          <c:w val="0.37175853018372701"/>
          <c:h val="0.868145844826721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образовательная программа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ДО</c:v>
                </c:pt>
                <c:pt idx="1">
                  <c:v>НО</c:v>
                </c:pt>
                <c:pt idx="2">
                  <c:v>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129</c:v>
                </c:pt>
                <c:pt idx="1">
                  <c:v>44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Адаптированная  образовательная программа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ДО</c:v>
                </c:pt>
                <c:pt idx="1">
                  <c:v>НО</c:v>
                </c:pt>
                <c:pt idx="2">
                  <c:v>ОО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194</c:v>
                </c:pt>
                <c:pt idx="2">
                  <c:v>34</c:v>
                </c:pt>
              </c:numCache>
            </c:numRef>
          </c:val>
        </c:ser>
        <c:axId val="54269440"/>
        <c:axId val="54270976"/>
      </c:barChart>
      <c:catAx>
        <c:axId val="54269440"/>
        <c:scaling>
          <c:orientation val="minMax"/>
        </c:scaling>
        <c:axPos val="b"/>
        <c:tickLblPos val="nextTo"/>
        <c:crossAx val="54270976"/>
        <c:crosses val="autoZero"/>
        <c:auto val="1"/>
        <c:lblAlgn val="ctr"/>
        <c:lblOffset val="100"/>
      </c:catAx>
      <c:valAx>
        <c:axId val="54270976"/>
        <c:scaling>
          <c:orientation val="minMax"/>
        </c:scaling>
        <c:axPos val="l"/>
        <c:majorGridlines/>
        <c:numFmt formatCode="General" sourceLinked="1"/>
        <c:tickLblPos val="nextTo"/>
        <c:crossAx val="5426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77094656097434"/>
          <c:y val="0.26575020479128009"/>
          <c:w val="0.32378235548839218"/>
          <c:h val="0.35396339532625515"/>
        </c:manualLayout>
      </c:layout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Охват детей "Службой ранней помощи" по нозологии</a:t>
            </a:r>
          </a:p>
        </c:rich>
      </c:tx>
    </c:title>
    <c:plotArea>
      <c:layout>
        <c:manualLayout>
          <c:layoutTarget val="inner"/>
          <c:xMode val="edge"/>
          <c:yMode val="edge"/>
          <c:x val="0.10329611462501628"/>
          <c:y val="0.23466311010797924"/>
          <c:w val="0.44573125080676296"/>
          <c:h val="0.708523942650492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ЗПР (задержка психического развития)</c:v>
                </c:pt>
                <c:pt idx="1">
                  <c:v>ЗРР (задержка речевого развития)</c:v>
                </c:pt>
                <c:pt idx="2">
                  <c:v>Отклонения после родовых трамв</c:v>
                </c:pt>
                <c:pt idx="3">
                  <c:v>Погроничное состояние психического здоровь</c:v>
                </c:pt>
                <c:pt idx="4">
                  <c:v>Адаптированная группа по социализации детей в обществе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144062992125949"/>
          <c:y val="0.14906744522103324"/>
          <c:w val="0.33165438320210089"/>
          <c:h val="0.7913401161933421"/>
        </c:manualLayout>
      </c:layout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Pr>
        <a:bodyPr/>
        <a:lstStyle/>
        <a:p>
          <a:pPr algn="ctr">
            <a:defRPr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опроса населения о качестве муниципальных услуг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Уровень удовлетворенности от 74% до 100%</c:v>
                </c:pt>
                <c:pt idx="1">
                  <c:v>Уровень удовлетворенности от 52% до 73%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детей,</a:t>
            </a:r>
            <a:endParaRPr lang="ru-RU" baseline="0"/>
          </a:p>
          <a:p>
            <a:pPr>
              <a:defRPr/>
            </a:pPr>
            <a:r>
              <a:rPr lang="ru-RU" baseline="0"/>
              <a:t>посещающих д/с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4</a:t>
                    </a:r>
                    <a:r>
                      <a:rPr lang="en-US"/>
                      <a:t>4</a:t>
                    </a:r>
                  </a:p>
                </c:rich>
              </c:tx>
              <c:dLblPos val="ctr"/>
              <c:showVal val="1"/>
            </c:dLbl>
            <c:dLblPos val="ctr"/>
            <c:showVal val="1"/>
            <c:showLeaderLines val="1"/>
          </c:dLbls>
          <c:cat>
            <c:strRef>
              <c:f>Лист1!$A$1:$B$1</c:f>
              <c:strCache>
                <c:ptCount val="2"/>
                <c:pt idx="0">
                  <c:v>с 3-х лет</c:v>
                </c:pt>
                <c:pt idx="1">
                  <c:v>до 3-х лет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994</c:v>
                </c:pt>
                <c:pt idx="1">
                  <c:v>50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Очередность в детские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сады Иланского района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возрасте от 0 до 3 лет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445740130234564"/>
          <c:y val="4.754337110300239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4.6258162366382242E-2"/>
                  <c:y val="-0.16727610268228671"/>
                </c:manualLayout>
              </c:layout>
              <c:showVal val="1"/>
            </c:dLbl>
            <c:dLbl>
              <c:idx val="1"/>
              <c:layout>
                <c:manualLayout>
                  <c:x val="3.2005376490568463E-2"/>
                  <c:y val="0.10883970296395905"/>
                </c:manualLayout>
              </c:layout>
              <c:showVal val="1"/>
            </c:dLbl>
            <c:dLbl>
              <c:idx val="2"/>
              <c:layout>
                <c:manualLayout>
                  <c:x val="8.0790852700506014E-3"/>
                  <c:y val="8.5230458997503367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г. Иланский</c:v>
                </c:pt>
                <c:pt idx="1">
                  <c:v>с. Новониколаевка</c:v>
                </c:pt>
                <c:pt idx="2">
                  <c:v>с. Карапсель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467</c:v>
                </c:pt>
                <c:pt idx="1">
                  <c:v>33</c:v>
                </c:pt>
                <c:pt idx="2">
                  <c:v>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Родители лишенные и ограниченные</a:t>
            </a:r>
            <a:r>
              <a:rPr lang="ru-RU" baseline="0"/>
              <a:t> в родительских правах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 лишенные родительских прав</c:v>
                </c:pt>
              </c:strCache>
            </c:strRef>
          </c:tx>
          <c:dLbls>
            <c:dLblPos val="ctr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 ограниченные в родительских правах</c:v>
                </c:pt>
              </c:strCache>
            </c:strRef>
          </c:tx>
          <c:dLbls>
            <c:dLblPos val="ctr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axId val="90192128"/>
        <c:axId val="90202112"/>
      </c:barChart>
      <c:catAx>
        <c:axId val="90192128"/>
        <c:scaling>
          <c:orientation val="minMax"/>
        </c:scaling>
        <c:axPos val="b"/>
        <c:numFmt formatCode="General" sourceLinked="1"/>
        <c:majorTickMark val="none"/>
        <c:tickLblPos val="nextTo"/>
        <c:crossAx val="90202112"/>
        <c:crosses val="autoZero"/>
        <c:auto val="1"/>
        <c:lblAlgn val="ctr"/>
        <c:lblOffset val="100"/>
      </c:catAx>
      <c:valAx>
        <c:axId val="90202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0192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Приобретено и передано сиротам жилых помещений</c:v>
                </c:pt>
              </c:strCache>
            </c:strRef>
          </c:tx>
          <c:dLbls>
            <c:dLblPos val="ctr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Состоящих на учете в МО</c:v>
                </c:pt>
                <c:pt idx="1">
                  <c:v>По решению суда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обследованных</a:t>
            </a:r>
            <a:r>
              <a:rPr lang="ru-RU" baseline="0"/>
              <a:t> на ПМПК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 0  до 1</c:v>
                </c:pt>
                <c:pt idx="1">
                  <c:v>от 1 до 6</c:v>
                </c:pt>
                <c:pt idx="2">
                  <c:v>от 7 до 18</c:v>
                </c:pt>
                <c:pt idx="3">
                  <c:v>от 18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111</c:v>
                </c:pt>
                <c:pt idx="2">
                  <c:v>210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708442694663153"/>
          <c:y val="0.2988255423768239"/>
          <c:w val="0.28902668416448069"/>
          <c:h val="0.4191209010266129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Обхват населения ПМПК по запросам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Родителей (законных представителей)</c:v>
                </c:pt>
                <c:pt idx="1">
                  <c:v>Образовательные организации</c:v>
                </c:pt>
                <c:pt idx="2">
                  <c:v>Учреждения здравоохранения</c:v>
                </c:pt>
                <c:pt idx="3">
                  <c:v>Органы опеки и попечительства</c:v>
                </c:pt>
                <c:pt idx="4">
                  <c:v>Центр социальной защиты населения</c:v>
                </c:pt>
                <c:pt idx="5">
                  <c:v>КДН</c:v>
                </c:pt>
                <c:pt idx="6">
                  <c:v>МСЭ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102</c:v>
                </c:pt>
                <c:pt idx="1">
                  <c:v>92</c:v>
                </c:pt>
                <c:pt idx="2">
                  <c:v>83</c:v>
                </c:pt>
                <c:pt idx="3">
                  <c:v>7</c:v>
                </c:pt>
                <c:pt idx="4">
                  <c:v>6</c:v>
                </c:pt>
                <c:pt idx="5">
                  <c:v>11</c:v>
                </c:pt>
                <c:pt idx="6">
                  <c:v>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5A50-F67E-405C-AA81-67F5F34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</cp:revision>
  <dcterms:created xsi:type="dcterms:W3CDTF">2019-05-06T01:21:00Z</dcterms:created>
  <dcterms:modified xsi:type="dcterms:W3CDTF">2020-09-15T10:11:00Z</dcterms:modified>
</cp:coreProperties>
</file>