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93" w:rsidRPr="009A3A93" w:rsidRDefault="009A3A93" w:rsidP="009A3A93">
      <w:pPr>
        <w:pBdr>
          <w:bottom w:val="single" w:sz="6" w:space="0" w:color="DBD9DA"/>
        </w:pBdr>
        <w:shd w:val="clear" w:color="auto" w:fill="FFFFFF"/>
        <w:spacing w:after="48" w:line="240" w:lineRule="auto"/>
        <w:textAlignment w:val="baseline"/>
        <w:outlineLvl w:val="1"/>
        <w:rPr>
          <w:rFonts w:eastAsia="Times New Roman" w:cstheme="minorHAnsi"/>
          <w:b/>
          <w:bCs/>
          <w:color w:val="3333FF"/>
          <w:sz w:val="32"/>
          <w:szCs w:val="32"/>
          <w:u w:val="single"/>
        </w:rPr>
      </w:pPr>
      <w:r w:rsidRPr="009A3A93">
        <w:rPr>
          <w:rFonts w:eastAsia="Times New Roman" w:cstheme="minorHAnsi"/>
          <w:b/>
          <w:bCs/>
          <w:color w:val="3333FF"/>
          <w:sz w:val="32"/>
          <w:szCs w:val="32"/>
          <w:u w:val="single"/>
        </w:rPr>
        <w:t>Для общественных наблюдателей</w:t>
      </w:r>
    </w:p>
    <w:p w:rsidR="009A3A93" w:rsidRPr="009A3A93" w:rsidRDefault="009A3A93" w:rsidP="009A3A93">
      <w:pPr>
        <w:spacing w:after="0" w:line="336" w:lineRule="atLeast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9A3A93">
        <w:rPr>
          <w:rFonts w:eastAsia="Times New Roman" w:cstheme="minorHAnsi"/>
          <w:color w:val="111111"/>
          <w:sz w:val="28"/>
          <w:szCs w:val="28"/>
        </w:rPr>
        <w:t> </w:t>
      </w:r>
    </w:p>
    <w:tbl>
      <w:tblPr>
        <w:tblW w:w="15428" w:type="dxa"/>
        <w:tblCellMar>
          <w:left w:w="0" w:type="dxa"/>
          <w:right w:w="0" w:type="dxa"/>
        </w:tblCellMar>
        <w:tblLook w:val="04A0"/>
      </w:tblPr>
      <w:tblGrid>
        <w:gridCol w:w="15428"/>
      </w:tblGrid>
      <w:tr w:rsidR="009A3A93" w:rsidRPr="009A3A93" w:rsidTr="009A3A93">
        <w:trPr>
          <w:trHeight w:val="6876"/>
        </w:trPr>
        <w:tc>
          <w:tcPr>
            <w:tcW w:w="15428" w:type="dxa"/>
            <w:tcBorders>
              <w:top w:val="single" w:sz="6" w:space="0" w:color="E7E7E7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auto"/>
            <w:tcMar>
              <w:top w:w="100" w:type="dxa"/>
              <w:left w:w="402" w:type="dxa"/>
              <w:bottom w:w="100" w:type="dxa"/>
              <w:right w:w="402" w:type="dxa"/>
            </w:tcMar>
            <w:vAlign w:val="bottom"/>
            <w:hideMark/>
          </w:tcPr>
          <w:p w:rsidR="009A3A93" w:rsidRPr="009A3A93" w:rsidRDefault="009A3A93" w:rsidP="009A3A93">
            <w:pPr>
              <w:spacing w:after="0" w:line="336" w:lineRule="atLeast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9A3A93">
              <w:rPr>
                <w:rFonts w:eastAsia="Times New Roman" w:cstheme="minorHAnsi"/>
                <w:sz w:val="28"/>
                <w:szCs w:val="28"/>
              </w:rPr>
              <w:t>    В целях обеспечения соблюдения порядка проведения ГИА </w:t>
            </w:r>
            <w:proofErr w:type="gramStart"/>
            <w:r w:rsidRPr="009A3A93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гражданам, аккредитованным в качестве общественных наблюдателей предоставляется</w:t>
            </w:r>
            <w:proofErr w:type="gramEnd"/>
            <w:r w:rsidRPr="009A3A93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 xml:space="preserve"> право</w:t>
            </w:r>
            <w:r w:rsidRPr="009A3A93">
              <w:rPr>
                <w:rFonts w:eastAsia="Times New Roman" w:cstheme="minorHAnsi"/>
                <w:sz w:val="28"/>
                <w:szCs w:val="28"/>
              </w:rPr>
              <w:t>:</w:t>
            </w:r>
          </w:p>
          <w:p w:rsidR="009A3A93" w:rsidRPr="009A3A93" w:rsidRDefault="009A3A93" w:rsidP="009A3A93">
            <w:pPr>
              <w:numPr>
                <w:ilvl w:val="0"/>
                <w:numId w:val="1"/>
              </w:numPr>
              <w:spacing w:after="0" w:line="336" w:lineRule="atLeast"/>
              <w:ind w:left="334" w:right="2845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9A3A93">
              <w:rPr>
                <w:rFonts w:eastAsia="Times New Roman" w:cstheme="minorHAnsi"/>
                <w:sz w:val="28"/>
                <w:szCs w:val="28"/>
              </w:rPr>
              <w:t>присутствовать на всех этапах государственной итоговой аттестации (проведение экзамена, проверка экзаменационных работ, рассмотрение апелляций)</w:t>
            </w:r>
          </w:p>
          <w:p w:rsidR="009A3A93" w:rsidRPr="009A3A93" w:rsidRDefault="009A3A93" w:rsidP="009A3A93">
            <w:pPr>
              <w:numPr>
                <w:ilvl w:val="0"/>
                <w:numId w:val="1"/>
              </w:numPr>
              <w:spacing w:after="0" w:line="336" w:lineRule="atLeast"/>
              <w:ind w:left="334" w:right="334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9A3A93">
              <w:rPr>
                <w:rFonts w:eastAsia="Times New Roman" w:cstheme="minorHAnsi"/>
                <w:sz w:val="28"/>
                <w:szCs w:val="28"/>
              </w:rPr>
              <w:t> 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РФ, осуществляющие государственное управление в сфере образования, и органы местного самоуправления, осуществляющие управление в сфере образования, ГЭК.</w:t>
            </w:r>
          </w:p>
          <w:p w:rsidR="009A3A93" w:rsidRDefault="009A3A93" w:rsidP="009A3A93">
            <w:pPr>
              <w:spacing w:after="0" w:line="336" w:lineRule="atLeast"/>
              <w:jc w:val="both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A3A93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 xml:space="preserve">    </w:t>
            </w:r>
          </w:p>
          <w:p w:rsidR="009A3A93" w:rsidRPr="009A3A93" w:rsidRDefault="009A3A93" w:rsidP="009A3A93">
            <w:pPr>
              <w:spacing w:after="0" w:line="336" w:lineRule="atLeast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9A3A93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9A3A93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Общественными наблюдателями</w:t>
            </w:r>
            <w:r w:rsidRPr="009A3A93">
              <w:rPr>
                <w:rFonts w:eastAsia="Times New Roman" w:cstheme="minorHAnsi"/>
                <w:sz w:val="28"/>
                <w:szCs w:val="28"/>
              </w:rPr>
              <w:t> при проведении государственной итоговой аттестации признаются </w:t>
            </w:r>
            <w:r w:rsidRPr="009A3A93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граждане РФ, получившие аккредитацию</w:t>
            </w:r>
            <w:r w:rsidRPr="009A3A93">
              <w:rPr>
                <w:rFonts w:eastAsia="Times New Roman" w:cstheme="minorHAnsi"/>
                <w:sz w:val="28"/>
                <w:szCs w:val="28"/>
              </w:rPr>
              <w:t>.</w:t>
            </w:r>
          </w:p>
          <w:p w:rsidR="009A3A93" w:rsidRPr="009A3A93" w:rsidRDefault="009A3A93" w:rsidP="009A3A93">
            <w:pPr>
              <w:spacing w:after="0" w:line="336" w:lineRule="atLeast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</w:t>
            </w:r>
            <w:r w:rsidRPr="009A3A93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Аккредитацию граждан</w:t>
            </w:r>
            <w:r w:rsidRPr="009A3A93">
              <w:rPr>
                <w:rFonts w:eastAsia="Times New Roman" w:cstheme="minorHAnsi"/>
                <w:sz w:val="28"/>
                <w:szCs w:val="28"/>
              </w:rPr>
              <w:t> в качестве обществе общественных наблюдателей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9A3A93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осуществляют:</w:t>
            </w:r>
          </w:p>
          <w:p w:rsidR="009A3A93" w:rsidRPr="009A3A93" w:rsidRDefault="009A3A93" w:rsidP="009A3A93">
            <w:pPr>
              <w:spacing w:after="0" w:line="336" w:lineRule="atLeast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9A3A93">
              <w:rPr>
                <w:rFonts w:eastAsia="Times New Roman" w:cstheme="minorHAnsi"/>
                <w:sz w:val="28"/>
                <w:szCs w:val="28"/>
              </w:rPr>
              <w:t>— органы исполнительной власти субъектов РФ, осуществляющие государственное управление в сфере образования, при проведении на территориях субъектов РФ государственной итоговой аттестации;</w:t>
            </w:r>
          </w:p>
          <w:p w:rsidR="009A3A93" w:rsidRPr="009A3A93" w:rsidRDefault="009A3A93" w:rsidP="009A3A93">
            <w:pPr>
              <w:spacing w:after="0" w:line="336" w:lineRule="atLeast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9A3A93">
              <w:rPr>
                <w:rFonts w:eastAsia="Times New Roman" w:cstheme="minorHAnsi"/>
                <w:sz w:val="28"/>
                <w:szCs w:val="28"/>
              </w:rPr>
              <w:t xml:space="preserve">— учредители образовательных организаций, расположенных за пределами территории РФ и реализующих имеющие государственную аккредитацию образовательные программы основного общего и среднего общего образования, загранучреждения </w:t>
            </w:r>
            <w:proofErr w:type="spellStart"/>
            <w:r w:rsidRPr="009A3A93">
              <w:rPr>
                <w:rFonts w:eastAsia="Times New Roman" w:cstheme="minorHAnsi"/>
                <w:sz w:val="28"/>
                <w:szCs w:val="28"/>
              </w:rPr>
              <w:t>МИДа</w:t>
            </w:r>
            <w:proofErr w:type="spellEnd"/>
            <w:r w:rsidRPr="009A3A93">
              <w:rPr>
                <w:rFonts w:eastAsia="Times New Roman" w:cstheme="minorHAnsi"/>
                <w:sz w:val="28"/>
                <w:szCs w:val="28"/>
              </w:rPr>
              <w:t xml:space="preserve"> России, имеющие в своей структуре специализированные структурные  образовательные подразделения, при проведении ГИА за пределами территории РФ.</w:t>
            </w:r>
          </w:p>
          <w:p w:rsidR="009A3A93" w:rsidRPr="009A3A93" w:rsidRDefault="009A3A93" w:rsidP="009A3A93">
            <w:pPr>
              <w:spacing w:after="0" w:line="336" w:lineRule="atLeast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9A3A93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     Статус</w:t>
            </w:r>
            <w:r w:rsidRPr="009A3A93">
              <w:rPr>
                <w:rFonts w:eastAsia="Times New Roman" w:cstheme="minorHAnsi"/>
                <w:sz w:val="28"/>
                <w:szCs w:val="28"/>
              </w:rPr>
              <w:t> общественных наблюдателей </w:t>
            </w:r>
            <w:r w:rsidRPr="009A3A93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подтверждается удостоверением общественного наблюдателя</w:t>
            </w:r>
            <w:r w:rsidRPr="009A3A93">
              <w:rPr>
                <w:rFonts w:eastAsia="Times New Roman" w:cstheme="minorHAnsi"/>
                <w:sz w:val="28"/>
                <w:szCs w:val="28"/>
              </w:rPr>
              <w:t>, выдаваемым аккредитующим органом.</w:t>
            </w:r>
          </w:p>
          <w:p w:rsidR="009A3A93" w:rsidRPr="009A3A93" w:rsidRDefault="009A3A93" w:rsidP="009A3A93">
            <w:pPr>
              <w:spacing w:after="0" w:line="336" w:lineRule="atLeast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9A3A93">
              <w:rPr>
                <w:rFonts w:eastAsia="Times New Roman" w:cstheme="minorHAnsi"/>
                <w:sz w:val="28"/>
                <w:szCs w:val="28"/>
              </w:rPr>
              <w:t>При проведении ГИА общественный наблюдатель  обязан иметь при себе </w:t>
            </w:r>
            <w:r w:rsidRPr="009A3A93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документ, удостоверяющий личность, удостоверение общественного наблюдателя.</w:t>
            </w:r>
          </w:p>
          <w:p w:rsidR="009A3A93" w:rsidRPr="009A3A93" w:rsidRDefault="009A3A93" w:rsidP="009A3A93">
            <w:pPr>
              <w:spacing w:after="0" w:line="336" w:lineRule="atLeast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9A3A93">
              <w:rPr>
                <w:rFonts w:eastAsia="Times New Roman" w:cstheme="minorHAnsi"/>
                <w:sz w:val="28"/>
                <w:szCs w:val="28"/>
              </w:rPr>
              <w:t>Деятельность общественных наблюдателей осуществляется на </w:t>
            </w:r>
            <w:r w:rsidRPr="009A3A93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безвозмездной основе</w:t>
            </w:r>
            <w:r w:rsidRPr="009A3A93"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  <w:tr w:rsidR="009A3A93" w:rsidRPr="009A3A93" w:rsidTr="009A3A93">
        <w:tc>
          <w:tcPr>
            <w:tcW w:w="1542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402" w:type="dxa"/>
              <w:bottom w:w="100" w:type="dxa"/>
              <w:right w:w="402" w:type="dxa"/>
            </w:tcMar>
            <w:vAlign w:val="bottom"/>
          </w:tcPr>
          <w:p w:rsidR="00500A72" w:rsidRDefault="00500A72" w:rsidP="00500A72">
            <w:pPr>
              <w:pStyle w:val="4"/>
              <w:pBdr>
                <w:bottom w:val="single" w:sz="6" w:space="0" w:color="DBD9DA"/>
              </w:pBdr>
              <w:shd w:val="clear" w:color="auto" w:fill="FFFFFF"/>
              <w:spacing w:before="0"/>
              <w:textAlignment w:val="baseline"/>
              <w:rPr>
                <w:rFonts w:ascii="Georgia" w:hAnsi="Georgia"/>
                <w:color w:val="111111"/>
                <w:sz w:val="29"/>
                <w:szCs w:val="29"/>
              </w:rPr>
            </w:pPr>
            <w:r w:rsidRPr="00500A72">
              <w:rPr>
                <w:rStyle w:val="a4"/>
                <w:rFonts w:asciiTheme="minorHAnsi" w:hAnsiTheme="minorHAnsi" w:cstheme="minorHAnsi"/>
                <w:b/>
                <w:bCs/>
                <w:color w:val="000080"/>
                <w:sz w:val="28"/>
                <w:szCs w:val="28"/>
                <w:bdr w:val="none" w:sz="0" w:space="0" w:color="auto" w:frame="1"/>
              </w:rPr>
              <w:t>Порядок аккредитации граждан в качестве общественных наблюдателей</w:t>
            </w:r>
            <w:r>
              <w:rPr>
                <w:rStyle w:val="a4"/>
                <w:rFonts w:ascii="Georgia" w:hAnsi="Georgia"/>
                <w:b/>
                <w:bCs/>
                <w:color w:val="000080"/>
                <w:sz w:val="18"/>
                <w:szCs w:val="18"/>
                <w:bdr w:val="none" w:sz="0" w:space="0" w:color="auto" w:frame="1"/>
              </w:rPr>
              <w:t xml:space="preserve">  </w:t>
            </w:r>
            <w:r>
              <w:rPr>
                <w:rFonts w:ascii="Georgia" w:hAnsi="Georgia"/>
                <w:color w:val="111111"/>
                <w:sz w:val="29"/>
                <w:szCs w:val="29"/>
              </w:rPr>
              <w:t>(</w:t>
            </w:r>
            <w:hyperlink r:id="rId5" w:tgtFrame="_blank" w:history="1">
              <w:r w:rsidRPr="00500A72">
                <w:rPr>
                  <w:rStyle w:val="a5"/>
                  <w:rFonts w:asciiTheme="minorHAnsi" w:hAnsiTheme="minorHAnsi" w:cstheme="minorHAnsi"/>
                  <w:color w:val="57648E"/>
                  <w:sz w:val="28"/>
                  <w:szCs w:val="28"/>
                  <w:bdr w:val="none" w:sz="0" w:space="0" w:color="auto" w:frame="1"/>
                </w:rPr>
                <w:t>в формате</w:t>
              </w:r>
              <w:r w:rsidRPr="00500A72">
                <w:rPr>
                  <w:rStyle w:val="apple-converted-space"/>
                  <w:rFonts w:asciiTheme="minorHAnsi" w:hAnsiTheme="minorHAnsi" w:cstheme="minorHAnsi"/>
                  <w:color w:val="57648E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proofErr w:type="spellStart"/>
            <w:r w:rsidRPr="00500A72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docx</w:t>
            </w:r>
            <w:proofErr w:type="spellEnd"/>
            <w:r w:rsidRPr="00500A72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, 110,4 КБ)</w:t>
            </w:r>
          </w:p>
          <w:p w:rsidR="009A3A93" w:rsidRPr="009A3A93" w:rsidRDefault="009A3A93" w:rsidP="009A3A93">
            <w:pPr>
              <w:spacing w:after="0" w:line="336" w:lineRule="atLeast"/>
              <w:jc w:val="both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2415E3" w:rsidRPr="009A3A93" w:rsidRDefault="002415E3" w:rsidP="009A3A93">
      <w:pPr>
        <w:rPr>
          <w:rFonts w:cstheme="minorHAnsi"/>
          <w:sz w:val="28"/>
          <w:szCs w:val="28"/>
        </w:rPr>
      </w:pPr>
    </w:p>
    <w:sectPr w:rsidR="002415E3" w:rsidRPr="009A3A93" w:rsidSect="00500A72">
      <w:pgSz w:w="16838" w:h="11906" w:orient="landscape"/>
      <w:pgMar w:top="85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BAB"/>
    <w:multiLevelType w:val="multilevel"/>
    <w:tmpl w:val="98C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A93"/>
    <w:rsid w:val="002415E3"/>
    <w:rsid w:val="00500A72"/>
    <w:rsid w:val="0090139D"/>
    <w:rsid w:val="009A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9D"/>
  </w:style>
  <w:style w:type="paragraph" w:styleId="2">
    <w:name w:val="heading 2"/>
    <w:basedOn w:val="a"/>
    <w:link w:val="20"/>
    <w:uiPriority w:val="9"/>
    <w:qFormat/>
    <w:rsid w:val="009A3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A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A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A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3A93"/>
  </w:style>
  <w:style w:type="character" w:customStyle="1" w:styleId="40">
    <w:name w:val="Заголовок 4 Знак"/>
    <w:basedOn w:val="a0"/>
    <w:link w:val="4"/>
    <w:uiPriority w:val="9"/>
    <w:semiHidden/>
    <w:rsid w:val="00500A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00A72"/>
    <w:rPr>
      <w:b/>
      <w:bCs/>
    </w:rPr>
  </w:style>
  <w:style w:type="character" w:styleId="a5">
    <w:name w:val="Hyperlink"/>
    <w:basedOn w:val="a0"/>
    <w:uiPriority w:val="99"/>
    <w:semiHidden/>
    <w:unhideWhenUsed/>
    <w:rsid w:val="00500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k.cross-edu.ru/wp-content/uploads/2011/08/%D0%BF%D1%80%D0%B8%D0%BA%D0%B0%D0%B7-%D0%B0%D0%BA%D0%BA%D1%80%D0%B5%D0%B4%D0%B8%D1%82%D0%B0%D1%86%D0%B8%D1%8F-%D0%BE%D0%B1%D1%89%D0%BD%D0%B0%D0%B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 О.А.</dc:creator>
  <cp:keywords/>
  <dc:description/>
  <cp:lastModifiedBy>Бельская О.А.</cp:lastModifiedBy>
  <cp:revision>3</cp:revision>
  <dcterms:created xsi:type="dcterms:W3CDTF">2017-10-31T17:12:00Z</dcterms:created>
  <dcterms:modified xsi:type="dcterms:W3CDTF">2017-10-31T17:15:00Z</dcterms:modified>
</cp:coreProperties>
</file>